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36F15" w14:textId="2A62F150" w:rsidR="0080711F" w:rsidRPr="00C74F9B" w:rsidRDefault="0080711F" w:rsidP="00A539D8">
      <w:pPr>
        <w:spacing w:after="0" w:line="264" w:lineRule="auto"/>
        <w:rPr>
          <w:rFonts w:cstheme="minorHAnsi"/>
        </w:rPr>
      </w:pPr>
    </w:p>
    <w:p w14:paraId="3B14D9B3" w14:textId="1B0D1341" w:rsidR="00E56AA9" w:rsidRDefault="00E56AA9" w:rsidP="00A539D8">
      <w:pPr>
        <w:spacing w:after="0" w:line="264" w:lineRule="auto"/>
        <w:rPr>
          <w:rFonts w:cstheme="minorHAnsi"/>
        </w:rPr>
      </w:pPr>
      <w:r>
        <w:rPr>
          <w:rFonts w:cstheme="minorHAnsi"/>
          <w:noProof/>
          <w:lang w:eastAsia="pl-PL"/>
        </w:rPr>
        <w:drawing>
          <wp:inline distT="0" distB="0" distL="0" distR="0" wp14:anchorId="5FA86AF8" wp14:editId="1DA15B4B">
            <wp:extent cx="6192520" cy="657225"/>
            <wp:effectExtent l="0" t="0" r="4445"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2520" cy="657225"/>
                    </a:xfrm>
                    <a:prstGeom prst="rect">
                      <a:avLst/>
                    </a:prstGeom>
                  </pic:spPr>
                </pic:pic>
              </a:graphicData>
            </a:graphic>
          </wp:inline>
        </w:drawing>
      </w:r>
    </w:p>
    <w:p w14:paraId="33F95442" w14:textId="77777777" w:rsidR="00E56AA9" w:rsidRDefault="00E56AA9" w:rsidP="00A539D8">
      <w:pPr>
        <w:spacing w:after="0" w:line="264" w:lineRule="auto"/>
        <w:rPr>
          <w:rFonts w:cstheme="minorHAnsi"/>
        </w:rPr>
      </w:pPr>
    </w:p>
    <w:p w14:paraId="6D26515C" w14:textId="78313FB6" w:rsidR="00E56AA9" w:rsidRDefault="00E56AA9" w:rsidP="00A539D8">
      <w:pPr>
        <w:spacing w:after="0" w:line="264" w:lineRule="auto"/>
        <w:rPr>
          <w:rFonts w:cstheme="minorHAnsi"/>
        </w:rPr>
      </w:pPr>
    </w:p>
    <w:p w14:paraId="4F920132" w14:textId="77777777" w:rsidR="00E56AA9" w:rsidRDefault="00E56AA9" w:rsidP="00A539D8">
      <w:pPr>
        <w:spacing w:after="0" w:line="264" w:lineRule="auto"/>
        <w:rPr>
          <w:rFonts w:cstheme="minorHAnsi"/>
        </w:rPr>
      </w:pPr>
    </w:p>
    <w:p w14:paraId="07A95F96" w14:textId="608E564F" w:rsidR="00BB57E3" w:rsidRPr="00C74F9B" w:rsidRDefault="00BB57E3" w:rsidP="00A539D8">
      <w:pPr>
        <w:spacing w:after="0" w:line="264" w:lineRule="auto"/>
        <w:rPr>
          <w:rFonts w:cstheme="minorHAnsi"/>
        </w:rPr>
      </w:pPr>
      <w:r w:rsidRPr="00C74F9B">
        <w:rPr>
          <w:rFonts w:cstheme="minorHAnsi"/>
        </w:rPr>
        <w:t xml:space="preserve">Informacja prasowa </w:t>
      </w:r>
      <w:r w:rsidRPr="00C74F9B">
        <w:rPr>
          <w:rFonts w:cstheme="minorHAnsi"/>
        </w:rPr>
        <w:tab/>
      </w:r>
      <w:r w:rsidRPr="00C74F9B">
        <w:rPr>
          <w:rFonts w:cstheme="minorHAnsi"/>
        </w:rPr>
        <w:tab/>
      </w:r>
      <w:r w:rsidRPr="00C74F9B">
        <w:rPr>
          <w:rFonts w:cstheme="minorHAnsi"/>
        </w:rPr>
        <w:tab/>
      </w:r>
      <w:r w:rsidRPr="00C74F9B">
        <w:rPr>
          <w:rFonts w:cstheme="minorHAnsi"/>
        </w:rPr>
        <w:tab/>
      </w:r>
      <w:r w:rsidRPr="00C74F9B">
        <w:rPr>
          <w:rFonts w:cstheme="minorHAnsi"/>
        </w:rPr>
        <w:tab/>
      </w:r>
      <w:r w:rsidRPr="00C74F9B">
        <w:rPr>
          <w:rFonts w:cstheme="minorHAnsi"/>
        </w:rPr>
        <w:tab/>
      </w:r>
      <w:r w:rsidRPr="00C74F9B">
        <w:rPr>
          <w:rFonts w:cstheme="minorHAnsi"/>
        </w:rPr>
        <w:tab/>
      </w:r>
      <w:r w:rsidRPr="00C74F9B">
        <w:rPr>
          <w:rFonts w:cstheme="minorHAnsi"/>
        </w:rPr>
        <w:tab/>
      </w:r>
      <w:r w:rsidRPr="00C74F9B">
        <w:rPr>
          <w:rFonts w:cstheme="minorHAnsi"/>
        </w:rPr>
        <w:tab/>
      </w:r>
      <w:r w:rsidRPr="00C74F9B">
        <w:rPr>
          <w:rFonts w:cstheme="minorHAnsi"/>
        </w:rPr>
        <w:tab/>
      </w:r>
      <w:r w:rsidR="00696106">
        <w:rPr>
          <w:rFonts w:cstheme="minorHAnsi"/>
        </w:rPr>
        <w:t>17</w:t>
      </w:r>
      <w:r w:rsidRPr="00C74F9B">
        <w:rPr>
          <w:rFonts w:cstheme="minorHAnsi"/>
        </w:rPr>
        <w:t>.</w:t>
      </w:r>
      <w:r w:rsidR="00E06769" w:rsidRPr="00C74F9B">
        <w:rPr>
          <w:rFonts w:cstheme="minorHAnsi"/>
        </w:rPr>
        <w:t>0</w:t>
      </w:r>
      <w:r w:rsidR="00696106">
        <w:rPr>
          <w:rFonts w:cstheme="minorHAnsi"/>
        </w:rPr>
        <w:t>7</w:t>
      </w:r>
      <w:r w:rsidRPr="00C74F9B">
        <w:rPr>
          <w:rFonts w:cstheme="minorHAnsi"/>
        </w:rPr>
        <w:t>.202</w:t>
      </w:r>
      <w:r w:rsidR="00696106">
        <w:rPr>
          <w:rFonts w:cstheme="minorHAnsi"/>
        </w:rPr>
        <w:t>6</w:t>
      </w:r>
      <w:r w:rsidRPr="00C74F9B">
        <w:rPr>
          <w:rFonts w:cstheme="minorHAnsi"/>
        </w:rPr>
        <w:t xml:space="preserve"> r</w:t>
      </w:r>
      <w:r w:rsidR="00300096" w:rsidRPr="00C74F9B">
        <w:rPr>
          <w:rFonts w:cstheme="minorHAnsi"/>
        </w:rPr>
        <w:t>.</w:t>
      </w:r>
    </w:p>
    <w:p w14:paraId="0098F156" w14:textId="7E19C7AD" w:rsidR="00696106" w:rsidRDefault="005B0437" w:rsidP="00A539D8">
      <w:pPr>
        <w:spacing w:after="0" w:line="264" w:lineRule="auto"/>
        <w:rPr>
          <w:rFonts w:cstheme="minorHAnsi"/>
          <w:i/>
        </w:rPr>
      </w:pPr>
      <w:r w:rsidRPr="00C74F9B">
        <w:rPr>
          <w:rFonts w:cstheme="minorHAnsi"/>
          <w:i/>
        </w:rPr>
        <w:tab/>
      </w:r>
      <w:r w:rsidRPr="00C74F9B">
        <w:rPr>
          <w:rFonts w:cstheme="minorHAnsi"/>
          <w:i/>
        </w:rPr>
        <w:tab/>
      </w:r>
      <w:r w:rsidRPr="00C74F9B">
        <w:rPr>
          <w:rFonts w:cstheme="minorHAnsi"/>
          <w:i/>
        </w:rPr>
        <w:tab/>
      </w:r>
      <w:r w:rsidRPr="00C74F9B">
        <w:rPr>
          <w:rFonts w:cstheme="minorHAnsi"/>
          <w:i/>
        </w:rPr>
        <w:tab/>
      </w:r>
    </w:p>
    <w:p w14:paraId="572F0A48" w14:textId="45E5A046" w:rsidR="001A60F0" w:rsidRPr="001A60F0" w:rsidRDefault="001A60F0" w:rsidP="007007BC">
      <w:pPr>
        <w:spacing w:before="100" w:beforeAutospacing="1" w:after="100" w:afterAutospacing="1" w:line="240" w:lineRule="auto"/>
        <w:outlineLvl w:val="1"/>
        <w:rPr>
          <w:rFonts w:eastAsia="Times New Roman" w:cstheme="minorHAnsi"/>
          <w:b/>
          <w:bCs/>
          <w:kern w:val="36"/>
          <w:sz w:val="24"/>
          <w:szCs w:val="24"/>
          <w:lang w:eastAsia="pl-PL"/>
        </w:rPr>
      </w:pPr>
      <w:r w:rsidRPr="001A60F0">
        <w:rPr>
          <w:rFonts w:eastAsia="Times New Roman" w:cstheme="minorHAnsi"/>
          <w:b/>
          <w:bCs/>
          <w:kern w:val="36"/>
          <w:sz w:val="24"/>
          <w:szCs w:val="24"/>
          <w:lang w:eastAsia="pl-PL"/>
        </w:rPr>
        <w:t>Od wynalazku do rynku. Pierwsze w Polsce badanie pokazuje, co dzieje się z polskimi wynalazkami po uzyskaniu ochrony patentowej</w:t>
      </w:r>
      <w:r w:rsidR="006E642F">
        <w:rPr>
          <w:rFonts w:eastAsia="Times New Roman" w:cstheme="minorHAnsi"/>
          <w:b/>
          <w:bCs/>
          <w:kern w:val="36"/>
          <w:sz w:val="24"/>
          <w:szCs w:val="24"/>
          <w:lang w:eastAsia="pl-PL"/>
        </w:rPr>
        <w:t xml:space="preserve"> w kraju</w:t>
      </w:r>
    </w:p>
    <w:p w14:paraId="42AA5B5A" w14:textId="50AEDEC9" w:rsidR="001A60F0" w:rsidRPr="001A60F0" w:rsidRDefault="001A60F0" w:rsidP="007007BC">
      <w:pPr>
        <w:spacing w:before="100" w:beforeAutospacing="1" w:after="100" w:afterAutospacing="1" w:line="240" w:lineRule="auto"/>
        <w:outlineLvl w:val="1"/>
        <w:rPr>
          <w:rFonts w:eastAsia="Times New Roman"/>
          <w:b/>
          <w:bCs/>
          <w:kern w:val="36"/>
          <w:sz w:val="24"/>
          <w:szCs w:val="24"/>
          <w:lang w:eastAsia="pl-PL"/>
        </w:rPr>
      </w:pPr>
      <w:r w:rsidRPr="218FAA5C">
        <w:rPr>
          <w:rFonts w:eastAsia="Times New Roman"/>
          <w:b/>
          <w:bCs/>
          <w:sz w:val="24"/>
          <w:szCs w:val="24"/>
          <w:lang w:eastAsia="pl-PL"/>
        </w:rPr>
        <w:t xml:space="preserve">Jakie są losy wynalazków po </w:t>
      </w:r>
      <w:r w:rsidRPr="007007BC">
        <w:rPr>
          <w:rFonts w:eastAsiaTheme="minorEastAsia"/>
          <w:b/>
          <w:bCs/>
          <w:sz w:val="24"/>
          <w:szCs w:val="24"/>
          <w:lang w:eastAsia="pl-PL"/>
        </w:rPr>
        <w:t>uzyskaniu ochrony patentowej? Które z nich trafia</w:t>
      </w:r>
      <w:r w:rsidRPr="218FAA5C">
        <w:rPr>
          <w:rFonts w:eastAsia="Times New Roman"/>
          <w:b/>
          <w:bCs/>
          <w:sz w:val="24"/>
          <w:szCs w:val="24"/>
          <w:lang w:eastAsia="pl-PL"/>
        </w:rPr>
        <w:t xml:space="preserve">ją na rynek, </w:t>
      </w:r>
      <w:r w:rsidR="007007BC">
        <w:rPr>
          <w:rFonts w:eastAsia="Times New Roman"/>
          <w:b/>
          <w:bCs/>
          <w:sz w:val="24"/>
          <w:szCs w:val="24"/>
          <w:lang w:eastAsia="pl-PL"/>
        </w:rPr>
        <w:br/>
      </w:r>
      <w:r w:rsidRPr="218FAA5C">
        <w:rPr>
          <w:rFonts w:eastAsia="Times New Roman"/>
          <w:b/>
          <w:bCs/>
          <w:sz w:val="24"/>
          <w:szCs w:val="24"/>
          <w:lang w:eastAsia="pl-PL"/>
        </w:rPr>
        <w:t>a które</w:t>
      </w:r>
      <w:r w:rsidR="002C3C15" w:rsidRPr="218FAA5C">
        <w:rPr>
          <w:rFonts w:eastAsia="Times New Roman"/>
          <w:b/>
          <w:bCs/>
          <w:sz w:val="24"/>
          <w:szCs w:val="24"/>
          <w:lang w:eastAsia="pl-PL"/>
        </w:rPr>
        <w:t xml:space="preserve"> nie zostały skomercjalizowane</w:t>
      </w:r>
      <w:r w:rsidRPr="218FAA5C">
        <w:rPr>
          <w:rFonts w:eastAsia="Times New Roman"/>
          <w:b/>
          <w:bCs/>
          <w:sz w:val="24"/>
          <w:szCs w:val="24"/>
          <w:lang w:eastAsia="pl-PL"/>
        </w:rPr>
        <w:t xml:space="preserve">? Jakie bariery utrudniają </w:t>
      </w:r>
      <w:r w:rsidR="002C3C15" w:rsidRPr="218FAA5C">
        <w:rPr>
          <w:rFonts w:eastAsia="Times New Roman"/>
          <w:b/>
          <w:bCs/>
          <w:sz w:val="24"/>
          <w:szCs w:val="24"/>
          <w:lang w:eastAsia="pl-PL"/>
        </w:rPr>
        <w:t xml:space="preserve">wdrożenia </w:t>
      </w:r>
      <w:r w:rsidRPr="218FAA5C">
        <w:rPr>
          <w:rFonts w:eastAsia="Times New Roman"/>
          <w:b/>
          <w:bCs/>
          <w:sz w:val="24"/>
          <w:szCs w:val="24"/>
          <w:lang w:eastAsia="pl-PL"/>
        </w:rPr>
        <w:t xml:space="preserve">i jak wygląda transfer technologii w Polsce? </w:t>
      </w:r>
      <w:r w:rsidR="002C3C15" w:rsidRPr="218FAA5C">
        <w:rPr>
          <w:rFonts w:eastAsia="Times New Roman"/>
          <w:b/>
          <w:bCs/>
          <w:sz w:val="24"/>
          <w:szCs w:val="24"/>
          <w:lang w:eastAsia="pl-PL"/>
        </w:rPr>
        <w:t>Wstępne o</w:t>
      </w:r>
      <w:r w:rsidRPr="218FAA5C">
        <w:rPr>
          <w:rFonts w:eastAsia="Times New Roman"/>
          <w:b/>
          <w:bCs/>
          <w:sz w:val="24"/>
          <w:szCs w:val="24"/>
          <w:lang w:eastAsia="pl-PL"/>
        </w:rPr>
        <w:t xml:space="preserve">dpowiedzi na te pytania przynosi pierwsze w Polsce pilotażowe badanie dotyczące komercjalizacji patentów krajowych. Wyniki pokazują, że komercjalizacji podlegał </w:t>
      </w:r>
      <w:r w:rsidR="004F4FB9" w:rsidRPr="218FAA5C">
        <w:rPr>
          <w:rFonts w:eastAsia="Times New Roman"/>
          <w:b/>
          <w:bCs/>
          <w:sz w:val="24"/>
          <w:szCs w:val="24"/>
          <w:lang w:eastAsia="pl-PL"/>
        </w:rPr>
        <w:t xml:space="preserve">tylko </w:t>
      </w:r>
      <w:r w:rsidRPr="218FAA5C">
        <w:rPr>
          <w:rFonts w:eastAsia="Times New Roman"/>
          <w:b/>
          <w:bCs/>
          <w:sz w:val="24"/>
          <w:szCs w:val="24"/>
          <w:lang w:eastAsia="pl-PL"/>
        </w:rPr>
        <w:t xml:space="preserve">co czwarty analizowany patent, a wykorzystanie chronionych wynalazków </w:t>
      </w:r>
      <w:r>
        <w:br/>
      </w:r>
      <w:r w:rsidR="004F4FB9" w:rsidRPr="218FAA5C">
        <w:rPr>
          <w:rFonts w:eastAsia="Times New Roman"/>
          <w:b/>
          <w:bCs/>
          <w:sz w:val="24"/>
          <w:szCs w:val="24"/>
          <w:lang w:eastAsia="pl-PL"/>
        </w:rPr>
        <w:t xml:space="preserve">w praktyce gospodarczej </w:t>
      </w:r>
      <w:r w:rsidRPr="218FAA5C">
        <w:rPr>
          <w:rFonts w:eastAsia="Times New Roman"/>
          <w:b/>
          <w:bCs/>
          <w:sz w:val="24"/>
          <w:szCs w:val="24"/>
          <w:lang w:eastAsia="pl-PL"/>
        </w:rPr>
        <w:t xml:space="preserve">przyniosło łącznie blisko 4 mld zł przychodów. Jednocześnie blisko dwie trzecie patentów </w:t>
      </w:r>
      <w:r w:rsidR="0023417F" w:rsidRPr="218FAA5C">
        <w:rPr>
          <w:rFonts w:eastAsia="Times New Roman"/>
          <w:b/>
          <w:bCs/>
          <w:sz w:val="24"/>
          <w:szCs w:val="24"/>
          <w:lang w:eastAsia="pl-PL"/>
        </w:rPr>
        <w:t xml:space="preserve">nie jest obecnie </w:t>
      </w:r>
      <w:r w:rsidRPr="218FAA5C">
        <w:rPr>
          <w:rFonts w:eastAsia="Times New Roman"/>
          <w:b/>
          <w:bCs/>
          <w:sz w:val="24"/>
          <w:szCs w:val="24"/>
          <w:lang w:eastAsia="pl-PL"/>
        </w:rPr>
        <w:t>planowanych do komercjalizacji</w:t>
      </w:r>
      <w:r w:rsidR="0023417F" w:rsidRPr="218FAA5C">
        <w:rPr>
          <w:rFonts w:eastAsia="Times New Roman"/>
          <w:b/>
          <w:bCs/>
          <w:sz w:val="24"/>
          <w:szCs w:val="24"/>
          <w:lang w:eastAsia="pl-PL"/>
        </w:rPr>
        <w:t>;</w:t>
      </w:r>
      <w:r w:rsidR="002C5CAF" w:rsidRPr="218FAA5C">
        <w:rPr>
          <w:rFonts w:eastAsia="Times New Roman"/>
          <w:b/>
          <w:bCs/>
          <w:sz w:val="24"/>
          <w:szCs w:val="24"/>
          <w:lang w:eastAsia="pl-PL"/>
        </w:rPr>
        <w:t xml:space="preserve"> </w:t>
      </w:r>
      <w:r w:rsidR="00730843" w:rsidRPr="218FAA5C">
        <w:rPr>
          <w:rFonts w:eastAsia="Times New Roman"/>
          <w:b/>
          <w:bCs/>
          <w:sz w:val="24"/>
          <w:szCs w:val="24"/>
          <w:lang w:eastAsia="pl-PL"/>
        </w:rPr>
        <w:t xml:space="preserve">3% uzyskanych patentów </w:t>
      </w:r>
      <w:r w:rsidR="002C3C15" w:rsidRPr="218FAA5C">
        <w:rPr>
          <w:rFonts w:eastAsia="Times New Roman"/>
          <w:b/>
          <w:bCs/>
          <w:sz w:val="24"/>
          <w:szCs w:val="24"/>
          <w:lang w:eastAsia="pl-PL"/>
        </w:rPr>
        <w:t xml:space="preserve">pełni </w:t>
      </w:r>
      <w:r w:rsidRPr="218FAA5C">
        <w:rPr>
          <w:rFonts w:eastAsia="Times New Roman"/>
          <w:b/>
          <w:bCs/>
          <w:sz w:val="24"/>
          <w:szCs w:val="24"/>
          <w:lang w:eastAsia="pl-PL"/>
        </w:rPr>
        <w:t>przede wszystkim funkcję ochronną lub strategiczną.</w:t>
      </w:r>
    </w:p>
    <w:p w14:paraId="1CCC4AC6" w14:textId="1DB37473" w:rsidR="00014555" w:rsidRDefault="00014555" w:rsidP="007007BC">
      <w:pPr>
        <w:spacing w:before="100" w:beforeAutospacing="1" w:after="100" w:afterAutospacing="1" w:line="240" w:lineRule="auto"/>
        <w:outlineLvl w:val="1"/>
        <w:rPr>
          <w:rFonts w:eastAsia="Times New Roman" w:cstheme="minorHAnsi"/>
          <w:kern w:val="36"/>
          <w:sz w:val="24"/>
          <w:szCs w:val="24"/>
          <w:lang w:eastAsia="pl-PL"/>
        </w:rPr>
      </w:pPr>
      <w:r w:rsidRPr="00014555">
        <w:rPr>
          <w:rFonts w:eastAsia="Times New Roman" w:cstheme="minorHAnsi"/>
          <w:kern w:val="36"/>
          <w:sz w:val="24"/>
          <w:szCs w:val="24"/>
          <w:lang w:eastAsia="pl-PL"/>
        </w:rPr>
        <w:t>Badanie objęło ponad 11,5 tys. patentów udzielonych polskim podmiotom przez Urząd Patentowy RP w latach 2019</w:t>
      </w:r>
      <w:r w:rsidR="00B40776">
        <w:rPr>
          <w:rFonts w:eastAsia="Times New Roman" w:cstheme="minorHAnsi"/>
          <w:kern w:val="36"/>
          <w:sz w:val="24"/>
          <w:szCs w:val="24"/>
          <w:lang w:eastAsia="pl-PL"/>
        </w:rPr>
        <w:t>–</w:t>
      </w:r>
      <w:r w:rsidRPr="00014555">
        <w:rPr>
          <w:rFonts w:eastAsia="Times New Roman" w:cstheme="minorHAnsi"/>
          <w:kern w:val="36"/>
          <w:sz w:val="24"/>
          <w:szCs w:val="24"/>
          <w:lang w:eastAsia="pl-PL"/>
        </w:rPr>
        <w:t xml:space="preserve">2023 i po raz pierwszy pozwoliło prześledzić, co dzieje się z chronionymi wynalazkami – czy trafiają na rynek, w jaki sposób są komercjalizowane, jakie przynoszą przychody oraz dlaczego część z nich nie </w:t>
      </w:r>
      <w:r w:rsidR="00F83306">
        <w:rPr>
          <w:rFonts w:eastAsia="Times New Roman" w:cstheme="minorHAnsi"/>
          <w:kern w:val="36"/>
          <w:sz w:val="24"/>
          <w:szCs w:val="24"/>
          <w:lang w:eastAsia="pl-PL"/>
        </w:rPr>
        <w:t>zostało wdrożonych</w:t>
      </w:r>
      <w:r w:rsidRPr="00014555">
        <w:rPr>
          <w:rFonts w:eastAsia="Times New Roman" w:cstheme="minorHAnsi"/>
          <w:kern w:val="36"/>
          <w:sz w:val="24"/>
          <w:szCs w:val="24"/>
          <w:lang w:eastAsia="pl-PL"/>
        </w:rPr>
        <w:t>.</w:t>
      </w:r>
    </w:p>
    <w:p w14:paraId="5BD7A7ED" w14:textId="02A76A01" w:rsidR="001A60F0" w:rsidRPr="001A60F0" w:rsidRDefault="00491CC8" w:rsidP="007007BC">
      <w:pPr>
        <w:spacing w:before="240" w:after="240" w:line="240" w:lineRule="auto"/>
        <w:outlineLvl w:val="1"/>
        <w:rPr>
          <w:rFonts w:eastAsia="Times New Roman"/>
          <w:kern w:val="36"/>
          <w:sz w:val="24"/>
          <w:szCs w:val="24"/>
          <w:lang w:eastAsia="pl-PL"/>
        </w:rPr>
      </w:pPr>
      <w:r>
        <w:rPr>
          <w:rFonts w:eastAsia="Times New Roman"/>
          <w:kern w:val="36"/>
          <w:sz w:val="24"/>
          <w:szCs w:val="24"/>
          <w:lang w:eastAsia="pl-PL"/>
        </w:rPr>
        <w:t>Projekt</w:t>
      </w:r>
      <w:r w:rsidRPr="218FAA5C">
        <w:rPr>
          <w:rFonts w:eastAsia="Times New Roman"/>
          <w:kern w:val="36"/>
          <w:sz w:val="24"/>
          <w:szCs w:val="24"/>
          <w:lang w:eastAsia="pl-PL"/>
        </w:rPr>
        <w:t xml:space="preserve"> </w:t>
      </w:r>
      <w:r w:rsidR="001A60F0" w:rsidRPr="218FAA5C">
        <w:rPr>
          <w:rFonts w:eastAsia="Times New Roman"/>
          <w:kern w:val="36"/>
          <w:sz w:val="24"/>
          <w:szCs w:val="24"/>
          <w:lang w:eastAsia="pl-PL"/>
        </w:rPr>
        <w:t>„Komercjalizacja patentów udzielonych na rzecz podmiotów krajowych przez UPRP w latach 2019</w:t>
      </w:r>
      <w:r w:rsidR="00405813" w:rsidRPr="218FAA5C">
        <w:rPr>
          <w:rFonts w:eastAsia="Times New Roman"/>
          <w:kern w:val="36"/>
          <w:sz w:val="24"/>
          <w:szCs w:val="24"/>
          <w:lang w:eastAsia="pl-PL"/>
        </w:rPr>
        <w:t>–</w:t>
      </w:r>
      <w:r w:rsidR="001A60F0" w:rsidRPr="218FAA5C" w:rsidDel="00405813">
        <w:rPr>
          <w:rFonts w:eastAsia="Times New Roman"/>
          <w:kern w:val="36"/>
          <w:sz w:val="24"/>
          <w:szCs w:val="24"/>
          <w:lang w:eastAsia="pl-PL"/>
        </w:rPr>
        <w:t xml:space="preserve">2023” został </w:t>
      </w:r>
      <w:r w:rsidR="001A60F0" w:rsidRPr="218FAA5C">
        <w:rPr>
          <w:rFonts w:eastAsia="Times New Roman"/>
          <w:sz w:val="24"/>
          <w:szCs w:val="24"/>
          <w:lang w:eastAsia="pl-PL"/>
        </w:rPr>
        <w:t>z</w:t>
      </w:r>
      <w:r>
        <w:rPr>
          <w:rFonts w:eastAsia="Times New Roman"/>
          <w:sz w:val="24"/>
          <w:szCs w:val="24"/>
          <w:lang w:eastAsia="pl-PL"/>
        </w:rPr>
        <w:t>realizowany</w:t>
      </w:r>
      <w:r w:rsidR="001A60F0" w:rsidRPr="218FAA5C">
        <w:rPr>
          <w:rFonts w:eastAsia="Times New Roman"/>
          <w:sz w:val="24"/>
          <w:szCs w:val="24"/>
          <w:lang w:eastAsia="pl-PL"/>
        </w:rPr>
        <w:t xml:space="preserve"> przez Urząd Patentowy Rzeczypospolitej Polskiej, który do współpracy zaprosił Szkołę Główną Handlową w Warszawie oraz Główny Urząd Statystyczny. Koncepcję badania opracował dr hab. Mariusz-Jan Radło</w:t>
      </w:r>
      <w:r w:rsidR="005921C8" w:rsidRPr="218FAA5C">
        <w:rPr>
          <w:rFonts w:eastAsia="Times New Roman"/>
          <w:sz w:val="24"/>
          <w:szCs w:val="24"/>
          <w:lang w:eastAsia="pl-PL"/>
        </w:rPr>
        <w:t xml:space="preserve">, prof. SGH, </w:t>
      </w:r>
      <w:r w:rsidR="002A28CE" w:rsidRPr="218FAA5C">
        <w:rPr>
          <w:rFonts w:eastAsia="Times New Roman"/>
          <w:sz w:val="24"/>
          <w:szCs w:val="24"/>
          <w:lang w:eastAsia="pl-PL"/>
        </w:rPr>
        <w:t xml:space="preserve">kierownik </w:t>
      </w:r>
      <w:r w:rsidR="00611582" w:rsidRPr="218FAA5C">
        <w:rPr>
          <w:rFonts w:eastAsia="Times New Roman"/>
          <w:sz w:val="24"/>
          <w:szCs w:val="24"/>
          <w:lang w:eastAsia="pl-PL"/>
        </w:rPr>
        <w:t>Katedry Globalnych Współzależności Gospodarczych</w:t>
      </w:r>
      <w:r w:rsidR="458B73CF" w:rsidRPr="218FAA5C">
        <w:rPr>
          <w:rFonts w:eastAsia="Times New Roman"/>
          <w:sz w:val="24"/>
          <w:szCs w:val="24"/>
          <w:lang w:eastAsia="pl-PL"/>
        </w:rPr>
        <w:t xml:space="preserve"> SGH</w:t>
      </w:r>
      <w:r w:rsidR="003A75FC" w:rsidRPr="218FAA5C">
        <w:rPr>
          <w:rFonts w:eastAsia="Times New Roman"/>
          <w:sz w:val="24"/>
          <w:szCs w:val="24"/>
          <w:lang w:eastAsia="pl-PL"/>
        </w:rPr>
        <w:t xml:space="preserve">. </w:t>
      </w:r>
      <w:r w:rsidR="6CDF1200" w:rsidRPr="218FAA5C">
        <w:rPr>
          <w:rFonts w:ascii="Calibri" w:eastAsia="Calibri" w:hAnsi="Calibri" w:cs="Calibri"/>
          <w:sz w:val="24"/>
          <w:szCs w:val="24"/>
        </w:rPr>
        <w:t xml:space="preserve">Na </w:t>
      </w:r>
      <w:r w:rsidR="007007BC">
        <w:rPr>
          <w:rFonts w:ascii="Calibri" w:eastAsia="Calibri" w:hAnsi="Calibri" w:cs="Calibri"/>
          <w:sz w:val="24"/>
          <w:szCs w:val="24"/>
        </w:rPr>
        <w:t xml:space="preserve">jej </w:t>
      </w:r>
      <w:r w:rsidR="6CDF1200" w:rsidRPr="218FAA5C">
        <w:rPr>
          <w:rFonts w:ascii="Calibri" w:eastAsia="Calibri" w:hAnsi="Calibri" w:cs="Calibri"/>
          <w:sz w:val="24"/>
          <w:szCs w:val="24"/>
        </w:rPr>
        <w:t xml:space="preserve">podstawie badanie przeprowadził Urząd Statystyczny </w:t>
      </w:r>
      <w:r w:rsidR="00E02353">
        <w:rPr>
          <w:rFonts w:ascii="Calibri" w:eastAsia="Calibri" w:hAnsi="Calibri" w:cs="Calibri"/>
          <w:sz w:val="24"/>
          <w:szCs w:val="24"/>
        </w:rPr>
        <w:br/>
      </w:r>
      <w:r w:rsidR="6CDF1200" w:rsidRPr="218FAA5C">
        <w:rPr>
          <w:rFonts w:ascii="Calibri" w:eastAsia="Calibri" w:hAnsi="Calibri" w:cs="Calibri"/>
          <w:sz w:val="24"/>
          <w:szCs w:val="24"/>
        </w:rPr>
        <w:t>w Szczecinie, wykorzystując metody statystyki publicznej.</w:t>
      </w:r>
      <w:r w:rsidR="1BF7D3EC" w:rsidRPr="218FAA5C">
        <w:rPr>
          <w:rFonts w:eastAsia="Times New Roman"/>
          <w:sz w:val="24"/>
          <w:szCs w:val="24"/>
          <w:lang w:eastAsia="pl-PL"/>
        </w:rPr>
        <w:t xml:space="preserve"> </w:t>
      </w:r>
      <w:r w:rsidR="001A60F0" w:rsidRPr="218FAA5C">
        <w:rPr>
          <w:rFonts w:eastAsia="Times New Roman"/>
          <w:sz w:val="24"/>
          <w:szCs w:val="24"/>
          <w:lang w:eastAsia="pl-PL"/>
        </w:rPr>
        <w:t xml:space="preserve">Ze strony Urzędu Patentowego RP projektem kierował Michał Gołacki, zastępca dyrektora Departamentu Innowacji. </w:t>
      </w:r>
    </w:p>
    <w:p w14:paraId="1B6A3270" w14:textId="77777777" w:rsidR="003A75FC" w:rsidRDefault="003A75FC" w:rsidP="007007BC">
      <w:pPr>
        <w:spacing w:before="100" w:beforeAutospacing="1" w:after="100" w:afterAutospacing="1" w:line="240" w:lineRule="auto"/>
        <w:outlineLvl w:val="1"/>
        <w:rPr>
          <w:rFonts w:eastAsia="Times New Roman" w:cstheme="minorHAnsi"/>
          <w:b/>
          <w:bCs/>
          <w:kern w:val="36"/>
          <w:sz w:val="24"/>
          <w:szCs w:val="24"/>
          <w:lang w:eastAsia="pl-PL"/>
        </w:rPr>
      </w:pPr>
      <w:r w:rsidRPr="003A75FC">
        <w:rPr>
          <w:rFonts w:eastAsia="Times New Roman" w:cstheme="minorHAnsi"/>
          <w:b/>
          <w:bCs/>
          <w:kern w:val="36"/>
          <w:sz w:val="24"/>
          <w:szCs w:val="24"/>
          <w:lang w:eastAsia="pl-PL"/>
        </w:rPr>
        <w:t>Blisko 4 mld zł z komercjalizacji patentów</w:t>
      </w:r>
    </w:p>
    <w:p w14:paraId="17F0D10C" w14:textId="2D308F3B" w:rsidR="001A60F0" w:rsidRPr="001A60F0" w:rsidRDefault="00EB71AD" w:rsidP="007007BC">
      <w:pPr>
        <w:spacing w:before="100" w:beforeAutospacing="1" w:after="100" w:afterAutospacing="1" w:line="240" w:lineRule="auto"/>
        <w:outlineLvl w:val="1"/>
        <w:rPr>
          <w:rFonts w:eastAsia="Times New Roman" w:cstheme="minorHAnsi"/>
          <w:kern w:val="36"/>
          <w:sz w:val="24"/>
          <w:szCs w:val="24"/>
          <w:lang w:eastAsia="pl-PL"/>
        </w:rPr>
      </w:pPr>
      <w:r>
        <w:rPr>
          <w:rFonts w:eastAsia="Times New Roman" w:cstheme="minorHAnsi"/>
          <w:kern w:val="36"/>
          <w:sz w:val="24"/>
          <w:szCs w:val="24"/>
          <w:lang w:eastAsia="pl-PL"/>
        </w:rPr>
        <w:t xml:space="preserve">Skomercjalizowanych zostało </w:t>
      </w:r>
      <w:r w:rsidR="001A60F0" w:rsidRPr="001A60F0">
        <w:rPr>
          <w:rFonts w:eastAsia="Times New Roman" w:cstheme="minorHAnsi"/>
          <w:kern w:val="36"/>
          <w:sz w:val="24"/>
          <w:szCs w:val="24"/>
          <w:lang w:eastAsia="pl-PL"/>
        </w:rPr>
        <w:t>24,9 proc. analizowanych patentów</w:t>
      </w:r>
      <w:r>
        <w:rPr>
          <w:rFonts w:eastAsia="Times New Roman" w:cstheme="minorHAnsi"/>
          <w:kern w:val="36"/>
          <w:sz w:val="24"/>
          <w:szCs w:val="24"/>
          <w:lang w:eastAsia="pl-PL"/>
        </w:rPr>
        <w:t xml:space="preserve">, co </w:t>
      </w:r>
      <w:r w:rsidR="001A60F0" w:rsidRPr="001A60F0">
        <w:rPr>
          <w:rFonts w:eastAsia="Times New Roman" w:cstheme="minorHAnsi"/>
          <w:kern w:val="36"/>
          <w:sz w:val="24"/>
          <w:szCs w:val="24"/>
          <w:lang w:eastAsia="pl-PL"/>
        </w:rPr>
        <w:t>wygenerował</w:t>
      </w:r>
      <w:r>
        <w:rPr>
          <w:rFonts w:eastAsia="Times New Roman" w:cstheme="minorHAnsi"/>
          <w:kern w:val="36"/>
          <w:sz w:val="24"/>
          <w:szCs w:val="24"/>
          <w:lang w:eastAsia="pl-PL"/>
        </w:rPr>
        <w:t>o</w:t>
      </w:r>
      <w:r w:rsidR="001A60F0" w:rsidRPr="001A60F0">
        <w:rPr>
          <w:rFonts w:eastAsia="Times New Roman" w:cstheme="minorHAnsi"/>
          <w:kern w:val="36"/>
          <w:sz w:val="24"/>
          <w:szCs w:val="24"/>
          <w:lang w:eastAsia="pl-PL"/>
        </w:rPr>
        <w:t xml:space="preserve"> szacunkowo 3,93 mld zł przychodów. Wyniki badania wskazują, że potencjał polskich wynalazków może być wykorzystywany jeszcze skuteczniej dzięki dalszemu wzmacnianiu mechanizmów wspierających komercjalizację oraz współpracę nauki z biznesem.</w:t>
      </w:r>
    </w:p>
    <w:p w14:paraId="43D810EB" w14:textId="5D2B3861" w:rsidR="001A60F0" w:rsidRPr="001A60F0" w:rsidRDefault="001A60F0" w:rsidP="007007BC">
      <w:pPr>
        <w:spacing w:before="100" w:beforeAutospacing="1" w:after="100" w:afterAutospacing="1" w:line="240" w:lineRule="auto"/>
        <w:outlineLvl w:val="1"/>
        <w:rPr>
          <w:rFonts w:eastAsia="Times New Roman" w:cstheme="minorHAnsi"/>
          <w:kern w:val="36"/>
          <w:sz w:val="24"/>
          <w:szCs w:val="24"/>
          <w:lang w:eastAsia="pl-PL"/>
        </w:rPr>
      </w:pPr>
      <w:r w:rsidRPr="001A60F0">
        <w:rPr>
          <w:rFonts w:eastAsia="Times New Roman" w:cstheme="minorHAnsi"/>
          <w:i/>
          <w:iCs/>
          <w:kern w:val="36"/>
          <w:sz w:val="24"/>
          <w:szCs w:val="24"/>
          <w:lang w:eastAsia="pl-PL"/>
        </w:rPr>
        <w:t>–</w:t>
      </w:r>
      <w:r w:rsidR="00173172" w:rsidRPr="00173172">
        <w:rPr>
          <w:rFonts w:eastAsia="Times New Roman" w:cstheme="minorHAnsi"/>
          <w:i/>
          <w:iCs/>
          <w:kern w:val="36"/>
          <w:sz w:val="24"/>
          <w:szCs w:val="24"/>
          <w:lang w:eastAsia="pl-PL"/>
        </w:rPr>
        <w:t xml:space="preserve">– W nowoczesnym systemie innowacji zadaniem </w:t>
      </w:r>
      <w:r w:rsidR="00173172">
        <w:rPr>
          <w:rFonts w:eastAsia="Times New Roman" w:cstheme="minorHAnsi"/>
          <w:i/>
          <w:iCs/>
          <w:kern w:val="36"/>
          <w:sz w:val="24"/>
          <w:szCs w:val="24"/>
          <w:lang w:eastAsia="pl-PL"/>
        </w:rPr>
        <w:t>U</w:t>
      </w:r>
      <w:r w:rsidR="00173172" w:rsidRPr="00173172">
        <w:rPr>
          <w:rFonts w:eastAsia="Times New Roman" w:cstheme="minorHAnsi"/>
          <w:i/>
          <w:iCs/>
          <w:kern w:val="36"/>
          <w:sz w:val="24"/>
          <w:szCs w:val="24"/>
          <w:lang w:eastAsia="pl-PL"/>
        </w:rPr>
        <w:t xml:space="preserve">rzędu </w:t>
      </w:r>
      <w:r w:rsidR="00173172">
        <w:rPr>
          <w:rFonts w:eastAsia="Times New Roman" w:cstheme="minorHAnsi"/>
          <w:i/>
          <w:iCs/>
          <w:kern w:val="36"/>
          <w:sz w:val="24"/>
          <w:szCs w:val="24"/>
          <w:lang w:eastAsia="pl-PL"/>
        </w:rPr>
        <w:t>P</w:t>
      </w:r>
      <w:r w:rsidR="00173172" w:rsidRPr="00173172">
        <w:rPr>
          <w:rFonts w:eastAsia="Times New Roman" w:cstheme="minorHAnsi"/>
          <w:i/>
          <w:iCs/>
          <w:kern w:val="36"/>
          <w:sz w:val="24"/>
          <w:szCs w:val="24"/>
          <w:lang w:eastAsia="pl-PL"/>
        </w:rPr>
        <w:t>atentowego</w:t>
      </w:r>
      <w:r w:rsidR="00173172">
        <w:rPr>
          <w:rFonts w:eastAsia="Times New Roman" w:cstheme="minorHAnsi"/>
          <w:i/>
          <w:iCs/>
          <w:kern w:val="36"/>
          <w:sz w:val="24"/>
          <w:szCs w:val="24"/>
          <w:lang w:eastAsia="pl-PL"/>
        </w:rPr>
        <w:t xml:space="preserve"> RP</w:t>
      </w:r>
      <w:r w:rsidR="00173172" w:rsidRPr="00173172">
        <w:rPr>
          <w:rFonts w:eastAsia="Times New Roman" w:cstheme="minorHAnsi"/>
          <w:i/>
          <w:iCs/>
          <w:kern w:val="36"/>
          <w:sz w:val="24"/>
          <w:szCs w:val="24"/>
          <w:lang w:eastAsia="pl-PL"/>
        </w:rPr>
        <w:t xml:space="preserve"> nie jest wyłącznie przyznawanie ochrony prawnej. Równie ważne jest dostarczanie rzetelnej wiedzy o tym, w jaki sposób własność przemysłowa wpływa na rozwój gospodarki i jakie działania zwiększają szanse skutecznego wdrażania nowych technologii. Ochrona patentowa otwiera drogę do komercjalizacji, ale sama nie przesądza o sukcesie rynkowym wynalazku. Dlatego potrzebujemy danych pozwalających ocenić, co dzieje się z rozwiązaniami po uzyskaniu patentu, jakie modele komercjalizacji okazują się najbardziej efektywne oraz gdzie występują bariery ograniczające wykorzystanie potencjału polskich innowacji. To pierwsze badanie, które w tak kompleksowy sposób </w:t>
      </w:r>
      <w:r w:rsidR="00173172" w:rsidRPr="00173172">
        <w:rPr>
          <w:rFonts w:eastAsia="Times New Roman" w:cstheme="minorHAnsi"/>
          <w:i/>
          <w:iCs/>
          <w:kern w:val="36"/>
          <w:sz w:val="24"/>
          <w:szCs w:val="24"/>
          <w:lang w:eastAsia="pl-PL"/>
        </w:rPr>
        <w:lastRenderedPageBreak/>
        <w:t xml:space="preserve">pokazuje dalsze losy patentów udzielonych przez Urząd Patentowy RP. Jego wyniki dostarczają podstaw do prowadzenia polityki innowacyjnej opartej na dowodach, wspierania skuteczniejszego transferu technologii oraz lepszego wykorzystania potencjału nauki i przedsiębiorczości. Właśnie </w:t>
      </w:r>
      <w:r w:rsidR="000248A5">
        <w:rPr>
          <w:rFonts w:eastAsia="Times New Roman" w:cstheme="minorHAnsi"/>
          <w:i/>
          <w:iCs/>
          <w:kern w:val="36"/>
          <w:sz w:val="24"/>
          <w:szCs w:val="24"/>
          <w:lang w:eastAsia="pl-PL"/>
        </w:rPr>
        <w:br/>
      </w:r>
      <w:r w:rsidR="00173172" w:rsidRPr="00173172">
        <w:rPr>
          <w:rFonts w:eastAsia="Times New Roman" w:cstheme="minorHAnsi"/>
          <w:i/>
          <w:iCs/>
          <w:kern w:val="36"/>
          <w:sz w:val="24"/>
          <w:szCs w:val="24"/>
          <w:lang w:eastAsia="pl-PL"/>
        </w:rPr>
        <w:t>w tym kierunku chcemy rozwijać działalność Urzędu Patentowego RP – jako instytucji nie tylko chroniącej własność przemysłową, ale także aktywnie wspierającej rozwój całego ekosystemu innowacji</w:t>
      </w:r>
      <w:r w:rsidR="00173172">
        <w:rPr>
          <w:rFonts w:eastAsia="Times New Roman" w:cstheme="minorHAnsi"/>
          <w:i/>
          <w:iCs/>
          <w:kern w:val="36"/>
          <w:sz w:val="24"/>
          <w:szCs w:val="24"/>
          <w:lang w:eastAsia="pl-PL"/>
        </w:rPr>
        <w:t xml:space="preserve"> </w:t>
      </w:r>
      <w:r w:rsidRPr="001A60F0">
        <w:rPr>
          <w:rFonts w:eastAsia="Times New Roman" w:cstheme="minorHAnsi"/>
          <w:kern w:val="36"/>
          <w:sz w:val="24"/>
          <w:szCs w:val="24"/>
          <w:lang w:eastAsia="pl-PL"/>
        </w:rPr>
        <w:t>– mówi dr hab. Ewa Skrzydło-Tefelska, Prezes Urzędu Patentowego RP</w:t>
      </w:r>
      <w:r w:rsidR="003A75FC">
        <w:rPr>
          <w:rFonts w:eastAsia="Times New Roman" w:cstheme="minorHAnsi"/>
          <w:kern w:val="36"/>
          <w:sz w:val="24"/>
          <w:szCs w:val="24"/>
          <w:lang w:eastAsia="pl-PL"/>
        </w:rPr>
        <w:t>.</w:t>
      </w:r>
    </w:p>
    <w:p w14:paraId="4B185361" w14:textId="77777777" w:rsidR="003A75FC" w:rsidRDefault="003A75FC" w:rsidP="007007BC">
      <w:pPr>
        <w:spacing w:before="100" w:beforeAutospacing="1" w:after="100" w:afterAutospacing="1" w:line="240" w:lineRule="auto"/>
        <w:outlineLvl w:val="1"/>
        <w:rPr>
          <w:rFonts w:eastAsia="Times New Roman" w:cstheme="minorHAnsi"/>
          <w:b/>
          <w:bCs/>
          <w:kern w:val="36"/>
          <w:sz w:val="24"/>
          <w:szCs w:val="24"/>
          <w:lang w:eastAsia="pl-PL"/>
        </w:rPr>
      </w:pPr>
      <w:r w:rsidRPr="003A75FC">
        <w:rPr>
          <w:rFonts w:eastAsia="Times New Roman" w:cstheme="minorHAnsi"/>
          <w:b/>
          <w:bCs/>
          <w:kern w:val="36"/>
          <w:sz w:val="24"/>
          <w:szCs w:val="24"/>
          <w:lang w:eastAsia="pl-PL"/>
        </w:rPr>
        <w:t>Patenty nauki i patenty przedsiębiorstw – różne drogi do komercjalizacji</w:t>
      </w:r>
    </w:p>
    <w:p w14:paraId="44751F69" w14:textId="31823AF3" w:rsidR="001A60F0" w:rsidRPr="001A60F0" w:rsidRDefault="001A60F0" w:rsidP="007007BC">
      <w:pPr>
        <w:spacing w:before="100" w:beforeAutospacing="1" w:after="100" w:afterAutospacing="1" w:line="240" w:lineRule="auto"/>
        <w:outlineLvl w:val="1"/>
        <w:rPr>
          <w:rFonts w:eastAsia="Times New Roman" w:cstheme="minorHAnsi"/>
          <w:kern w:val="36"/>
          <w:sz w:val="24"/>
          <w:szCs w:val="24"/>
          <w:lang w:eastAsia="pl-PL"/>
        </w:rPr>
      </w:pPr>
      <w:r w:rsidRPr="001A60F0">
        <w:rPr>
          <w:rFonts w:eastAsia="Times New Roman" w:cstheme="minorHAnsi"/>
          <w:kern w:val="36"/>
          <w:sz w:val="24"/>
          <w:szCs w:val="24"/>
          <w:lang w:eastAsia="pl-PL"/>
        </w:rPr>
        <w:t xml:space="preserve">Jednym z najważniejszych </w:t>
      </w:r>
      <w:r w:rsidR="009968F9">
        <w:rPr>
          <w:rFonts w:eastAsia="Times New Roman" w:cstheme="minorHAnsi"/>
          <w:kern w:val="36"/>
          <w:sz w:val="24"/>
          <w:szCs w:val="24"/>
          <w:lang w:eastAsia="pl-PL"/>
        </w:rPr>
        <w:t xml:space="preserve">wyników </w:t>
      </w:r>
      <w:r w:rsidRPr="001A60F0">
        <w:rPr>
          <w:rFonts w:eastAsia="Times New Roman" w:cstheme="minorHAnsi"/>
          <w:kern w:val="36"/>
          <w:sz w:val="24"/>
          <w:szCs w:val="24"/>
          <w:lang w:eastAsia="pl-PL"/>
        </w:rPr>
        <w:t xml:space="preserve">badania jest wyraźna różnica </w:t>
      </w:r>
      <w:r w:rsidR="009968F9">
        <w:rPr>
          <w:rFonts w:eastAsia="Times New Roman" w:cstheme="minorHAnsi"/>
          <w:kern w:val="36"/>
          <w:sz w:val="24"/>
          <w:szCs w:val="24"/>
          <w:lang w:eastAsia="pl-PL"/>
        </w:rPr>
        <w:t xml:space="preserve">w efektach komercjalizacji </w:t>
      </w:r>
      <w:r w:rsidRPr="001A60F0">
        <w:rPr>
          <w:rFonts w:eastAsia="Times New Roman" w:cstheme="minorHAnsi"/>
          <w:kern w:val="36"/>
          <w:sz w:val="24"/>
          <w:szCs w:val="24"/>
          <w:lang w:eastAsia="pl-PL"/>
        </w:rPr>
        <w:t>pomiędzy sektorem nauki a przedsiębiorstwami. Jednostki naukowe</w:t>
      </w:r>
      <w:r w:rsidR="00730843">
        <w:rPr>
          <w:rFonts w:eastAsia="Times New Roman" w:cstheme="minorHAnsi"/>
          <w:kern w:val="36"/>
          <w:sz w:val="24"/>
          <w:szCs w:val="24"/>
          <w:lang w:eastAsia="pl-PL"/>
        </w:rPr>
        <w:t xml:space="preserve"> są właścicielami </w:t>
      </w:r>
      <w:r w:rsidRPr="001A60F0">
        <w:rPr>
          <w:rFonts w:eastAsia="Times New Roman" w:cstheme="minorHAnsi"/>
          <w:kern w:val="36"/>
          <w:sz w:val="24"/>
          <w:szCs w:val="24"/>
          <w:lang w:eastAsia="pl-PL"/>
        </w:rPr>
        <w:t>ponad dw</w:t>
      </w:r>
      <w:r w:rsidR="00730843">
        <w:rPr>
          <w:rFonts w:eastAsia="Times New Roman" w:cstheme="minorHAnsi"/>
          <w:kern w:val="36"/>
          <w:sz w:val="24"/>
          <w:szCs w:val="24"/>
          <w:lang w:eastAsia="pl-PL"/>
        </w:rPr>
        <w:t>óch</w:t>
      </w:r>
      <w:r w:rsidRPr="001A60F0">
        <w:rPr>
          <w:rFonts w:eastAsia="Times New Roman" w:cstheme="minorHAnsi"/>
          <w:kern w:val="36"/>
          <w:sz w:val="24"/>
          <w:szCs w:val="24"/>
          <w:lang w:eastAsia="pl-PL"/>
        </w:rPr>
        <w:t xml:space="preserve"> trzeci</w:t>
      </w:r>
      <w:r w:rsidR="00730843">
        <w:rPr>
          <w:rFonts w:eastAsia="Times New Roman" w:cstheme="minorHAnsi"/>
          <w:kern w:val="36"/>
          <w:sz w:val="24"/>
          <w:szCs w:val="24"/>
          <w:lang w:eastAsia="pl-PL"/>
        </w:rPr>
        <w:t>ch</w:t>
      </w:r>
      <w:r w:rsidRPr="001A60F0">
        <w:rPr>
          <w:rFonts w:eastAsia="Times New Roman" w:cstheme="minorHAnsi"/>
          <w:kern w:val="36"/>
          <w:sz w:val="24"/>
          <w:szCs w:val="24"/>
          <w:lang w:eastAsia="pl-PL"/>
        </w:rPr>
        <w:t xml:space="preserve"> analizowanych patentów, jednak odpowiadają jedynie za około 1 proc. przychodów z ich komercjalizacji. Przedsiębiorstwa dysponują niespełna jedną trzecią </w:t>
      </w:r>
      <w:r w:rsidR="00730843">
        <w:rPr>
          <w:rFonts w:eastAsia="Times New Roman" w:cstheme="minorHAnsi"/>
          <w:kern w:val="36"/>
          <w:sz w:val="24"/>
          <w:szCs w:val="24"/>
          <w:lang w:eastAsia="pl-PL"/>
        </w:rPr>
        <w:t xml:space="preserve">z puli badanych </w:t>
      </w:r>
      <w:r w:rsidRPr="001A60F0">
        <w:rPr>
          <w:rFonts w:eastAsia="Times New Roman" w:cstheme="minorHAnsi"/>
          <w:kern w:val="36"/>
          <w:sz w:val="24"/>
          <w:szCs w:val="24"/>
          <w:lang w:eastAsia="pl-PL"/>
        </w:rPr>
        <w:t>patentów, ale generują niemal 99 proc. wszystkich przychodów osiąganych z ich wykorzystania.</w:t>
      </w:r>
    </w:p>
    <w:p w14:paraId="08B98DAF" w14:textId="290BE0B1" w:rsidR="001A60F0" w:rsidRPr="001A60F0" w:rsidRDefault="00E02353" w:rsidP="007007BC">
      <w:pPr>
        <w:spacing w:before="100" w:beforeAutospacing="1" w:after="100" w:afterAutospacing="1" w:line="240" w:lineRule="auto"/>
        <w:outlineLvl w:val="1"/>
        <w:rPr>
          <w:rFonts w:eastAsia="Times New Roman"/>
          <w:kern w:val="36"/>
          <w:sz w:val="24"/>
          <w:szCs w:val="24"/>
          <w:lang w:eastAsia="pl-PL"/>
        </w:rPr>
      </w:pPr>
      <w:r w:rsidRPr="218FAA5C">
        <w:rPr>
          <w:rFonts w:eastAsia="Times New Roman"/>
          <w:i/>
          <w:iCs/>
          <w:sz w:val="24"/>
          <w:szCs w:val="24"/>
          <w:lang w:eastAsia="pl-PL"/>
        </w:rPr>
        <w:t>–</w:t>
      </w:r>
      <w:r>
        <w:rPr>
          <w:rFonts w:eastAsia="Times New Roman"/>
          <w:i/>
          <w:iCs/>
          <w:sz w:val="24"/>
          <w:szCs w:val="24"/>
          <w:lang w:eastAsia="pl-PL"/>
        </w:rPr>
        <w:t xml:space="preserve"> </w:t>
      </w:r>
      <w:r w:rsidR="007007BC" w:rsidRPr="00E02353">
        <w:rPr>
          <w:rFonts w:ascii="Calibri" w:eastAsia="Calibri" w:hAnsi="Calibri" w:cs="Calibri"/>
          <w:i/>
          <w:iCs/>
          <w:sz w:val="24"/>
          <w:szCs w:val="24"/>
        </w:rPr>
        <w:t>Z</w:t>
      </w:r>
      <w:r w:rsidR="5B448ED9" w:rsidRPr="00E02353">
        <w:rPr>
          <w:rFonts w:ascii="Calibri" w:eastAsia="Calibri" w:hAnsi="Calibri" w:cs="Calibri"/>
          <w:i/>
          <w:iCs/>
          <w:sz w:val="24"/>
          <w:szCs w:val="24"/>
        </w:rPr>
        <w:t>aprojektowaliśmy model, który pozwala prześledzić różne ścieżki dalszych losów patentu – od samodzielnego wdrożenia i współpracy z partnerem, przez sprzedaż praw, aż po brak komercjalizacji lub wykorzystanie patentu do blokowania konkurencji. Model ten może być stosowany cyklicznie, dzięki czemu pozwoli nie tylko mierzyć skalę komercjalizacji, lecz także obserwować jej zmiany, bariery i efekty gospodarcze w czasie.</w:t>
      </w:r>
      <w:r w:rsidR="009241C5">
        <w:rPr>
          <w:rFonts w:ascii="Calibri" w:eastAsia="Calibri" w:hAnsi="Calibri" w:cs="Calibri"/>
          <w:i/>
          <w:iCs/>
          <w:sz w:val="24"/>
          <w:szCs w:val="24"/>
        </w:rPr>
        <w:t xml:space="preserve"> </w:t>
      </w:r>
      <w:r w:rsidR="00507B13">
        <w:rPr>
          <w:rFonts w:ascii="Calibri" w:eastAsia="Calibri" w:hAnsi="Calibri" w:cs="Calibri"/>
          <w:i/>
          <w:iCs/>
          <w:sz w:val="24"/>
          <w:szCs w:val="24"/>
        </w:rPr>
        <w:t>W</w:t>
      </w:r>
      <w:r w:rsidR="00507B13" w:rsidRPr="009241C5">
        <w:rPr>
          <w:rFonts w:ascii="Calibri" w:eastAsia="Calibri" w:hAnsi="Calibri" w:cs="Calibri"/>
          <w:i/>
          <w:iCs/>
          <w:sz w:val="24"/>
          <w:szCs w:val="24"/>
        </w:rPr>
        <w:t>yniki pilotażu pokazują, że samo zwiększanie liczby patentów nie wystarczy – polityka innowacyjna powinna silniej wspierać przechodzenie od ochrony wynalazku do jego gospodarczego wykorzystania</w:t>
      </w:r>
      <w:r w:rsidR="00507B13">
        <w:rPr>
          <w:rFonts w:ascii="Calibri" w:eastAsia="Calibri" w:hAnsi="Calibri" w:cs="Calibri"/>
          <w:i/>
          <w:iCs/>
          <w:sz w:val="24"/>
          <w:szCs w:val="24"/>
        </w:rPr>
        <w:t xml:space="preserve"> </w:t>
      </w:r>
      <w:r w:rsidR="001A60F0" w:rsidRPr="218FAA5C">
        <w:rPr>
          <w:rFonts w:eastAsia="Times New Roman"/>
          <w:i/>
          <w:iCs/>
          <w:sz w:val="24"/>
          <w:szCs w:val="24"/>
          <w:lang w:eastAsia="pl-PL"/>
        </w:rPr>
        <w:t>–</w:t>
      </w:r>
      <w:r w:rsidR="001A60F0" w:rsidRPr="218FAA5C">
        <w:rPr>
          <w:rFonts w:eastAsia="Times New Roman"/>
          <w:sz w:val="24"/>
          <w:szCs w:val="24"/>
          <w:lang w:eastAsia="pl-PL"/>
        </w:rPr>
        <w:t xml:space="preserve"> podkreśla dr hab. Mariusz-Jan Radło,</w:t>
      </w:r>
      <w:r w:rsidR="00207FEB" w:rsidRPr="218FAA5C">
        <w:rPr>
          <w:rFonts w:eastAsia="Times New Roman"/>
          <w:sz w:val="24"/>
          <w:szCs w:val="24"/>
          <w:lang w:eastAsia="pl-PL"/>
        </w:rPr>
        <w:t xml:space="preserve"> prof. SGH,</w:t>
      </w:r>
      <w:r w:rsidR="001A60F0" w:rsidRPr="218FAA5C">
        <w:rPr>
          <w:rFonts w:eastAsia="Times New Roman"/>
          <w:sz w:val="24"/>
          <w:szCs w:val="24"/>
          <w:lang w:eastAsia="pl-PL"/>
        </w:rPr>
        <w:t xml:space="preserve"> autor koncepcji badania.</w:t>
      </w:r>
    </w:p>
    <w:p w14:paraId="76381821" w14:textId="77777777" w:rsidR="003A75FC" w:rsidRPr="003A75FC" w:rsidRDefault="003A75FC" w:rsidP="00F56B7F">
      <w:pPr>
        <w:spacing w:before="100" w:beforeAutospacing="1" w:after="100" w:afterAutospacing="1" w:line="240" w:lineRule="auto"/>
        <w:outlineLvl w:val="1"/>
        <w:rPr>
          <w:rFonts w:eastAsia="Times New Roman" w:cstheme="minorHAnsi"/>
          <w:b/>
          <w:bCs/>
          <w:kern w:val="36"/>
          <w:sz w:val="24"/>
          <w:szCs w:val="24"/>
          <w:lang w:eastAsia="pl-PL"/>
        </w:rPr>
      </w:pPr>
      <w:r w:rsidRPr="003A75FC">
        <w:rPr>
          <w:rFonts w:eastAsia="Times New Roman" w:cstheme="minorHAnsi"/>
          <w:b/>
          <w:bCs/>
          <w:kern w:val="36"/>
          <w:sz w:val="24"/>
          <w:szCs w:val="24"/>
          <w:lang w:eastAsia="pl-PL"/>
        </w:rPr>
        <w:t>Co utrudnia komercjalizację?</w:t>
      </w:r>
    </w:p>
    <w:p w14:paraId="2E5EBB03" w14:textId="566A4B4E" w:rsidR="00730843" w:rsidRDefault="003A75FC" w:rsidP="00F56B7F">
      <w:pPr>
        <w:spacing w:before="100" w:beforeAutospacing="1" w:after="100" w:afterAutospacing="1" w:line="240" w:lineRule="auto"/>
        <w:outlineLvl w:val="1"/>
        <w:rPr>
          <w:rFonts w:eastAsia="Times New Roman" w:cstheme="minorHAnsi"/>
          <w:kern w:val="36"/>
          <w:sz w:val="24"/>
          <w:szCs w:val="24"/>
          <w:lang w:eastAsia="pl-PL"/>
        </w:rPr>
      </w:pPr>
      <w:r w:rsidRPr="003A75FC">
        <w:rPr>
          <w:rFonts w:eastAsia="Times New Roman" w:cstheme="minorHAnsi"/>
          <w:kern w:val="36"/>
          <w:sz w:val="24"/>
          <w:szCs w:val="24"/>
          <w:lang w:eastAsia="pl-PL"/>
        </w:rPr>
        <w:t xml:space="preserve">Badanie pozwoliło również zidentyfikować najważniejsze bariery utrudniające komercjalizację wynalazków. W sektorze nauki dominują brak popytu na technologie oraz niewystarczające zainteresowanie inwestorów. W przedsiębiorstwach przeszkody mają bardziej zróżnicowany charakter i obejmują </w:t>
      </w:r>
      <w:r w:rsidR="004E4B52">
        <w:rPr>
          <w:rFonts w:eastAsia="Times New Roman" w:cstheme="minorHAnsi"/>
          <w:kern w:val="36"/>
          <w:sz w:val="24"/>
          <w:szCs w:val="24"/>
          <w:lang w:eastAsia="pl-PL"/>
        </w:rPr>
        <w:t>oprócz powyższych także</w:t>
      </w:r>
      <w:r w:rsidRPr="003A75FC">
        <w:rPr>
          <w:rFonts w:eastAsia="Times New Roman" w:cstheme="minorHAnsi"/>
          <w:kern w:val="36"/>
          <w:sz w:val="24"/>
          <w:szCs w:val="24"/>
          <w:lang w:eastAsia="pl-PL"/>
        </w:rPr>
        <w:t xml:space="preserve"> zmianę strategii biznesowej czy zmieniające się uwarunkowania rynkowe.</w:t>
      </w:r>
      <w:r w:rsidR="00730843">
        <w:rPr>
          <w:rFonts w:eastAsia="Times New Roman" w:cstheme="minorHAnsi"/>
          <w:kern w:val="36"/>
          <w:sz w:val="24"/>
          <w:szCs w:val="24"/>
          <w:lang w:eastAsia="pl-PL"/>
        </w:rPr>
        <w:t xml:space="preserve"> Z tych powodów</w:t>
      </w:r>
      <w:r w:rsidRPr="003A75FC">
        <w:rPr>
          <w:rFonts w:eastAsia="Times New Roman" w:cstheme="minorHAnsi"/>
          <w:kern w:val="36"/>
          <w:sz w:val="24"/>
          <w:szCs w:val="24"/>
          <w:lang w:eastAsia="pl-PL"/>
        </w:rPr>
        <w:t xml:space="preserve"> aż 64,7 proc. analizowanych patentów nie </w:t>
      </w:r>
      <w:r w:rsidR="00730843">
        <w:rPr>
          <w:rFonts w:eastAsia="Times New Roman" w:cstheme="minorHAnsi"/>
          <w:kern w:val="36"/>
          <w:sz w:val="24"/>
          <w:szCs w:val="24"/>
          <w:lang w:eastAsia="pl-PL"/>
        </w:rPr>
        <w:t>jest obecnie</w:t>
      </w:r>
      <w:r w:rsidRPr="003A75FC">
        <w:rPr>
          <w:rFonts w:eastAsia="Times New Roman" w:cstheme="minorHAnsi"/>
          <w:kern w:val="36"/>
          <w:sz w:val="24"/>
          <w:szCs w:val="24"/>
          <w:lang w:eastAsia="pl-PL"/>
        </w:rPr>
        <w:t xml:space="preserve"> planowanych do komercjalizacji. </w:t>
      </w:r>
    </w:p>
    <w:p w14:paraId="3F2261B8" w14:textId="39981A8E" w:rsidR="003A75FC" w:rsidRPr="003A75FC" w:rsidRDefault="00730843" w:rsidP="00F56B7F">
      <w:pPr>
        <w:spacing w:before="100" w:beforeAutospacing="1" w:after="100" w:afterAutospacing="1" w:line="240" w:lineRule="auto"/>
        <w:outlineLvl w:val="1"/>
        <w:rPr>
          <w:rFonts w:eastAsia="Times New Roman" w:cstheme="minorHAnsi"/>
          <w:kern w:val="36"/>
          <w:sz w:val="24"/>
          <w:szCs w:val="24"/>
          <w:lang w:eastAsia="pl-PL"/>
        </w:rPr>
      </w:pPr>
      <w:r>
        <w:rPr>
          <w:rFonts w:eastAsia="Times New Roman" w:cstheme="minorHAnsi"/>
          <w:kern w:val="36"/>
          <w:sz w:val="24"/>
          <w:szCs w:val="24"/>
          <w:lang w:eastAsia="pl-PL"/>
        </w:rPr>
        <w:t>W około 3% przypadków</w:t>
      </w:r>
      <w:r w:rsidR="004D4CD4">
        <w:rPr>
          <w:rFonts w:eastAsia="Times New Roman" w:cstheme="minorHAnsi"/>
          <w:kern w:val="36"/>
          <w:sz w:val="24"/>
          <w:szCs w:val="24"/>
          <w:lang w:eastAsia="pl-PL"/>
        </w:rPr>
        <w:t xml:space="preserve"> </w:t>
      </w:r>
      <w:r w:rsidR="003A75FC" w:rsidRPr="003A75FC">
        <w:rPr>
          <w:rFonts w:eastAsia="Times New Roman" w:cstheme="minorHAnsi"/>
          <w:kern w:val="36"/>
          <w:sz w:val="24"/>
          <w:szCs w:val="24"/>
          <w:lang w:eastAsia="pl-PL"/>
        </w:rPr>
        <w:t>patenty pełnią przede wszystkim funkcję ochronną lub strategiczną, zabezpieczając przewagę konkurencyjną swoich właścicieli, a nie służąc bezpośredniemu wprowadzaniu rozwiązań na rynek.</w:t>
      </w:r>
    </w:p>
    <w:p w14:paraId="250BA9E9" w14:textId="77777777" w:rsidR="003A75FC" w:rsidRPr="003A75FC" w:rsidRDefault="003A75FC" w:rsidP="00F56B7F">
      <w:pPr>
        <w:spacing w:before="100" w:beforeAutospacing="1" w:after="100" w:afterAutospacing="1" w:line="240" w:lineRule="auto"/>
        <w:outlineLvl w:val="1"/>
        <w:rPr>
          <w:rFonts w:eastAsia="Times New Roman" w:cstheme="minorHAnsi"/>
          <w:kern w:val="36"/>
          <w:sz w:val="24"/>
          <w:szCs w:val="24"/>
          <w:lang w:eastAsia="pl-PL"/>
        </w:rPr>
      </w:pPr>
      <w:r w:rsidRPr="003A75FC">
        <w:rPr>
          <w:rFonts w:eastAsia="Times New Roman" w:cstheme="minorHAnsi"/>
          <w:kern w:val="36"/>
          <w:sz w:val="24"/>
          <w:szCs w:val="24"/>
          <w:lang w:eastAsia="pl-PL"/>
        </w:rPr>
        <w:t>Wyniki badania pokazują, że skuteczne wspieranie komercjalizacji wymaga zróżnicowanych instrumentów, dostosowanych do potrzeb różnych grup właścicieli patentów oraz etapu rozwoju technologii.</w:t>
      </w:r>
    </w:p>
    <w:p w14:paraId="4B820FDC" w14:textId="7A4AA931" w:rsidR="003A75FC" w:rsidRPr="003700C2" w:rsidRDefault="003A75FC" w:rsidP="00F56B7F">
      <w:pPr>
        <w:spacing w:before="100" w:beforeAutospacing="1" w:after="100" w:afterAutospacing="1" w:line="240" w:lineRule="auto"/>
        <w:outlineLvl w:val="1"/>
        <w:rPr>
          <w:rFonts w:eastAsia="Times New Roman" w:cstheme="minorHAnsi"/>
          <w:i/>
          <w:iCs/>
          <w:kern w:val="36"/>
          <w:sz w:val="24"/>
          <w:szCs w:val="24"/>
          <w:lang w:eastAsia="pl-PL"/>
        </w:rPr>
      </w:pPr>
      <w:r w:rsidRPr="00014555">
        <w:rPr>
          <w:rFonts w:eastAsia="Times New Roman" w:cstheme="minorHAnsi"/>
          <w:i/>
          <w:iCs/>
          <w:kern w:val="36"/>
          <w:sz w:val="24"/>
          <w:szCs w:val="24"/>
          <w:lang w:eastAsia="pl-PL"/>
        </w:rPr>
        <w:t>–</w:t>
      </w:r>
      <w:r w:rsidR="00951441">
        <w:rPr>
          <w:rFonts w:eastAsia="Times New Roman" w:cstheme="minorHAnsi"/>
          <w:i/>
          <w:iCs/>
          <w:kern w:val="36"/>
          <w:sz w:val="24"/>
          <w:szCs w:val="24"/>
          <w:lang w:eastAsia="pl-PL"/>
        </w:rPr>
        <w:t xml:space="preserve"> </w:t>
      </w:r>
      <w:r w:rsidR="00951441" w:rsidRPr="00014555">
        <w:rPr>
          <w:rFonts w:eastAsia="Times New Roman" w:cstheme="minorHAnsi"/>
          <w:i/>
          <w:iCs/>
          <w:kern w:val="36"/>
          <w:sz w:val="24"/>
          <w:szCs w:val="24"/>
          <w:lang w:eastAsia="pl-PL"/>
        </w:rPr>
        <w:t xml:space="preserve">Skuteczna polityka publiczna wymaga rzetelnych danych </w:t>
      </w:r>
      <w:r w:rsidR="00951441">
        <w:rPr>
          <w:rFonts w:eastAsia="Times New Roman" w:cstheme="minorHAnsi"/>
          <w:i/>
          <w:iCs/>
          <w:kern w:val="36"/>
          <w:sz w:val="24"/>
          <w:szCs w:val="24"/>
          <w:lang w:eastAsia="pl-PL"/>
        </w:rPr>
        <w:t xml:space="preserve">o skali </w:t>
      </w:r>
      <w:r w:rsidR="00951441" w:rsidRPr="00014555">
        <w:rPr>
          <w:rFonts w:eastAsia="Times New Roman" w:cstheme="minorHAnsi"/>
          <w:i/>
          <w:iCs/>
          <w:kern w:val="36"/>
          <w:sz w:val="24"/>
          <w:szCs w:val="24"/>
          <w:lang w:eastAsia="pl-PL"/>
        </w:rPr>
        <w:t xml:space="preserve">zjawisk, ale </w:t>
      </w:r>
      <w:r w:rsidR="00951441">
        <w:rPr>
          <w:rFonts w:eastAsia="Times New Roman" w:cstheme="minorHAnsi"/>
          <w:i/>
          <w:iCs/>
          <w:kern w:val="36"/>
          <w:sz w:val="24"/>
          <w:szCs w:val="24"/>
          <w:lang w:eastAsia="pl-PL"/>
        </w:rPr>
        <w:t xml:space="preserve">też wiedzy o ich </w:t>
      </w:r>
      <w:r w:rsidR="00951441" w:rsidRPr="00014555">
        <w:rPr>
          <w:rFonts w:eastAsia="Times New Roman" w:cstheme="minorHAnsi"/>
          <w:i/>
          <w:iCs/>
          <w:kern w:val="36"/>
          <w:sz w:val="24"/>
          <w:szCs w:val="24"/>
          <w:lang w:eastAsia="pl-PL"/>
        </w:rPr>
        <w:t>uwarunkowania</w:t>
      </w:r>
      <w:r w:rsidR="00951441">
        <w:rPr>
          <w:rFonts w:eastAsia="Times New Roman" w:cstheme="minorHAnsi"/>
          <w:i/>
          <w:iCs/>
          <w:kern w:val="36"/>
          <w:sz w:val="24"/>
          <w:szCs w:val="24"/>
          <w:lang w:eastAsia="pl-PL"/>
        </w:rPr>
        <w:t>ch</w:t>
      </w:r>
      <w:r w:rsidR="00951441" w:rsidRPr="00014555">
        <w:rPr>
          <w:rFonts w:eastAsia="Times New Roman" w:cstheme="minorHAnsi"/>
          <w:i/>
          <w:iCs/>
          <w:kern w:val="36"/>
          <w:sz w:val="24"/>
          <w:szCs w:val="24"/>
          <w:lang w:eastAsia="pl-PL"/>
        </w:rPr>
        <w:t>.</w:t>
      </w:r>
      <w:r w:rsidR="00951441">
        <w:rPr>
          <w:rFonts w:eastAsia="Times New Roman" w:cstheme="minorHAnsi"/>
          <w:i/>
          <w:iCs/>
          <w:kern w:val="36"/>
          <w:sz w:val="24"/>
          <w:szCs w:val="24"/>
          <w:lang w:eastAsia="pl-PL"/>
        </w:rPr>
        <w:t xml:space="preserve"> </w:t>
      </w:r>
      <w:r w:rsidR="003700C2" w:rsidRPr="003700C2">
        <w:rPr>
          <w:rFonts w:eastAsia="Times New Roman" w:cstheme="minorHAnsi"/>
          <w:i/>
          <w:iCs/>
          <w:kern w:val="36"/>
          <w:sz w:val="24"/>
          <w:szCs w:val="24"/>
          <w:lang w:eastAsia="pl-PL"/>
        </w:rPr>
        <w:t>Jestem pewien, że to tylko początek – pilotaż stanowi doskonały punkt wyjścia do kolejnych badań, dogłębnie analizujących w odniesieniu do wynalazków i patentów cały łańcuch innowacyjności: od pomysłu do konkretnych biznesowych zastosowań i efektów w skali firmy czy gospodarki. Zwracam przy okazji uwagę na to, jak zmienia się rola statystyki publicznej. Nie chodzi tylko o dane i ich publikację. We współpracy z partnerami szczegółowo diagnozujemy i opisujemy zjawiska gospodarcze, co pozwala nie tylko lepiej je rozumieć, ale i kształtować w odpowiedni sposób – zarządzać nimi. Zależy nam przede wszystkim na tym, by rezultaty naszych badań były podstawą do podejmowania decyzji</w:t>
      </w:r>
      <w:r w:rsidR="003700C2">
        <w:rPr>
          <w:rFonts w:eastAsia="Times New Roman" w:cstheme="minorHAnsi"/>
          <w:i/>
          <w:iCs/>
          <w:kern w:val="36"/>
          <w:sz w:val="24"/>
          <w:szCs w:val="24"/>
          <w:lang w:eastAsia="pl-PL"/>
        </w:rPr>
        <w:t xml:space="preserve"> </w:t>
      </w:r>
      <w:r w:rsidR="00951441" w:rsidRPr="003700C2">
        <w:rPr>
          <w:rFonts w:eastAsia="Times New Roman" w:cstheme="minorHAnsi"/>
          <w:i/>
          <w:iCs/>
          <w:kern w:val="36"/>
          <w:sz w:val="24"/>
          <w:szCs w:val="24"/>
          <w:lang w:eastAsia="pl-PL"/>
        </w:rPr>
        <w:t xml:space="preserve">korzystnych </w:t>
      </w:r>
      <w:r w:rsidR="003700C2">
        <w:rPr>
          <w:rFonts w:eastAsia="Times New Roman" w:cstheme="minorHAnsi"/>
          <w:i/>
          <w:iCs/>
          <w:kern w:val="36"/>
          <w:sz w:val="24"/>
          <w:szCs w:val="24"/>
          <w:lang w:eastAsia="pl-PL"/>
        </w:rPr>
        <w:t xml:space="preserve">dla polskiej gospodarki </w:t>
      </w:r>
      <w:r w:rsidRPr="003A75FC">
        <w:rPr>
          <w:rFonts w:eastAsia="Times New Roman" w:cstheme="minorHAnsi"/>
          <w:kern w:val="36"/>
          <w:sz w:val="24"/>
          <w:szCs w:val="24"/>
          <w:lang w:eastAsia="pl-PL"/>
        </w:rPr>
        <w:t xml:space="preserve">– </w:t>
      </w:r>
      <w:r w:rsidR="00014555">
        <w:rPr>
          <w:rFonts w:eastAsia="Times New Roman" w:cstheme="minorHAnsi"/>
          <w:kern w:val="36"/>
          <w:sz w:val="24"/>
          <w:szCs w:val="24"/>
          <w:lang w:eastAsia="pl-PL"/>
        </w:rPr>
        <w:t>zwraca uwagę</w:t>
      </w:r>
      <w:r w:rsidRPr="003A75FC">
        <w:rPr>
          <w:rFonts w:eastAsia="Times New Roman" w:cstheme="minorHAnsi"/>
          <w:kern w:val="36"/>
          <w:sz w:val="24"/>
          <w:szCs w:val="24"/>
          <w:lang w:eastAsia="pl-PL"/>
        </w:rPr>
        <w:t xml:space="preserve"> </w:t>
      </w:r>
      <w:r w:rsidR="003700C2">
        <w:rPr>
          <w:rFonts w:eastAsia="Times New Roman" w:cstheme="minorHAnsi"/>
          <w:kern w:val="36"/>
          <w:sz w:val="24"/>
          <w:szCs w:val="24"/>
          <w:lang w:eastAsia="pl-PL"/>
        </w:rPr>
        <w:t xml:space="preserve">dr hab. </w:t>
      </w:r>
      <w:r w:rsidR="003700C2" w:rsidRPr="003700C2">
        <w:rPr>
          <w:rFonts w:eastAsia="Times New Roman" w:cstheme="minorHAnsi"/>
          <w:kern w:val="36"/>
          <w:sz w:val="24"/>
          <w:szCs w:val="24"/>
          <w:lang w:eastAsia="pl-PL"/>
        </w:rPr>
        <w:t>Marek</w:t>
      </w:r>
      <w:r w:rsidR="00F56B7F">
        <w:rPr>
          <w:rFonts w:eastAsia="Times New Roman" w:cstheme="minorHAnsi"/>
          <w:kern w:val="36"/>
          <w:sz w:val="24"/>
          <w:szCs w:val="24"/>
          <w:lang w:eastAsia="pl-PL"/>
        </w:rPr>
        <w:t xml:space="preserve"> </w:t>
      </w:r>
      <w:r w:rsidR="003700C2" w:rsidRPr="003700C2">
        <w:rPr>
          <w:rFonts w:eastAsia="Times New Roman" w:cstheme="minorHAnsi"/>
          <w:kern w:val="36"/>
          <w:sz w:val="24"/>
          <w:szCs w:val="24"/>
          <w:lang w:eastAsia="pl-PL"/>
        </w:rPr>
        <w:t>Cierpiał</w:t>
      </w:r>
      <w:r w:rsidR="003700C2">
        <w:rPr>
          <w:rFonts w:eastAsia="Times New Roman" w:cstheme="minorHAnsi"/>
          <w:kern w:val="36"/>
          <w:sz w:val="24"/>
          <w:szCs w:val="24"/>
          <w:lang w:eastAsia="pl-PL"/>
        </w:rPr>
        <w:t>-</w:t>
      </w:r>
      <w:r w:rsidR="003700C2" w:rsidRPr="003700C2">
        <w:rPr>
          <w:rFonts w:eastAsia="Times New Roman" w:cstheme="minorHAnsi"/>
          <w:kern w:val="36"/>
          <w:sz w:val="24"/>
          <w:szCs w:val="24"/>
          <w:lang w:eastAsia="pl-PL"/>
        </w:rPr>
        <w:t>Wolan</w:t>
      </w:r>
      <w:r w:rsidR="003700C2">
        <w:rPr>
          <w:rFonts w:eastAsia="Times New Roman" w:cstheme="minorHAnsi"/>
          <w:kern w:val="36"/>
          <w:sz w:val="24"/>
          <w:szCs w:val="24"/>
          <w:lang w:eastAsia="pl-PL"/>
        </w:rPr>
        <w:t xml:space="preserve">, Prezes </w:t>
      </w:r>
      <w:r w:rsidRPr="003A75FC">
        <w:rPr>
          <w:rFonts w:eastAsia="Times New Roman" w:cstheme="minorHAnsi"/>
          <w:kern w:val="36"/>
          <w:sz w:val="24"/>
          <w:szCs w:val="24"/>
          <w:lang w:eastAsia="pl-PL"/>
        </w:rPr>
        <w:t>Głównego Urzędu Statystycznego</w:t>
      </w:r>
      <w:r w:rsidR="003700C2">
        <w:rPr>
          <w:rFonts w:eastAsia="Times New Roman" w:cstheme="minorHAnsi"/>
          <w:kern w:val="36"/>
          <w:sz w:val="24"/>
          <w:szCs w:val="24"/>
          <w:lang w:eastAsia="pl-PL"/>
        </w:rPr>
        <w:t>.</w:t>
      </w:r>
    </w:p>
    <w:p w14:paraId="57A737F2" w14:textId="77777777" w:rsidR="003A75FC" w:rsidRPr="003A75FC" w:rsidRDefault="003A75FC" w:rsidP="00F56B7F">
      <w:pPr>
        <w:spacing w:before="100" w:beforeAutospacing="1" w:after="100" w:afterAutospacing="1" w:line="240" w:lineRule="auto"/>
        <w:outlineLvl w:val="1"/>
        <w:rPr>
          <w:rFonts w:eastAsia="Times New Roman" w:cstheme="minorHAnsi"/>
          <w:b/>
          <w:bCs/>
          <w:kern w:val="36"/>
          <w:sz w:val="24"/>
          <w:szCs w:val="24"/>
          <w:lang w:eastAsia="pl-PL"/>
        </w:rPr>
      </w:pPr>
      <w:r w:rsidRPr="003A75FC">
        <w:rPr>
          <w:rFonts w:eastAsia="Times New Roman" w:cstheme="minorHAnsi"/>
          <w:b/>
          <w:bCs/>
          <w:kern w:val="36"/>
          <w:sz w:val="24"/>
          <w:szCs w:val="24"/>
          <w:lang w:eastAsia="pl-PL"/>
        </w:rPr>
        <w:lastRenderedPageBreak/>
        <w:t>Ważne źródło wiedzy dla uczelni i polityki innowacyjnej</w:t>
      </w:r>
    </w:p>
    <w:p w14:paraId="451A34A0" w14:textId="77777777" w:rsidR="003A75FC" w:rsidRPr="003A75FC" w:rsidRDefault="003A75FC" w:rsidP="00F56B7F">
      <w:pPr>
        <w:spacing w:before="100" w:beforeAutospacing="1" w:after="100" w:afterAutospacing="1" w:line="240" w:lineRule="auto"/>
        <w:outlineLvl w:val="1"/>
        <w:rPr>
          <w:rFonts w:eastAsia="Times New Roman" w:cstheme="minorHAnsi"/>
          <w:kern w:val="36"/>
          <w:sz w:val="24"/>
          <w:szCs w:val="24"/>
          <w:lang w:eastAsia="pl-PL"/>
        </w:rPr>
      </w:pPr>
      <w:r w:rsidRPr="003A75FC">
        <w:rPr>
          <w:rFonts w:eastAsia="Times New Roman" w:cstheme="minorHAnsi"/>
          <w:kern w:val="36"/>
          <w:sz w:val="24"/>
          <w:szCs w:val="24"/>
          <w:lang w:eastAsia="pl-PL"/>
        </w:rPr>
        <w:t>Badanie po raz pierwszy dostarcza danych, które pozwalają analizować nie tylko skalę komercjalizacji patentów, ale również bariery utrudniające wykorzystanie chronionych wynalazków oraz różnice pomiędzy poszczególnymi grupami właścicieli patentów. Wnioski mogą stanowić cenne wsparcie przy projektowaniu instrumentów rozwoju innowacyjności, transferu technologii oraz współpracy nauki z biznesem.</w:t>
      </w:r>
    </w:p>
    <w:p w14:paraId="0E71CC73" w14:textId="27213088" w:rsidR="00605E1F" w:rsidRPr="00F56B7F" w:rsidRDefault="00CA3826" w:rsidP="00605E1F">
      <w:pPr>
        <w:spacing w:before="100" w:beforeAutospacing="1" w:after="100" w:afterAutospacing="1" w:line="240" w:lineRule="auto"/>
        <w:outlineLvl w:val="1"/>
        <w:rPr>
          <w:rFonts w:eastAsia="Times New Roman" w:cstheme="minorHAnsi"/>
          <w:i/>
          <w:iCs/>
          <w:kern w:val="36"/>
          <w:sz w:val="24"/>
          <w:szCs w:val="24"/>
          <w:lang w:eastAsia="pl-PL"/>
        </w:rPr>
      </w:pPr>
      <w:r>
        <w:rPr>
          <w:rFonts w:eastAsia="Times New Roman" w:cstheme="minorHAnsi"/>
          <w:i/>
          <w:iCs/>
          <w:kern w:val="36"/>
          <w:sz w:val="24"/>
          <w:szCs w:val="24"/>
          <w:lang w:eastAsia="pl-PL"/>
        </w:rPr>
        <w:t xml:space="preserve">– </w:t>
      </w:r>
      <w:r w:rsidR="00605E1F" w:rsidRPr="00605E1F">
        <w:rPr>
          <w:rFonts w:eastAsia="Times New Roman" w:cstheme="minorHAnsi"/>
          <w:i/>
          <w:iCs/>
          <w:kern w:val="36"/>
          <w:sz w:val="24"/>
          <w:szCs w:val="24"/>
          <w:lang w:eastAsia="pl-PL"/>
        </w:rPr>
        <w:t>SGH od lat pozostaje pionierem badań stosowanych i diagnozy polskiej gospodarki. Badanie losów patentów udzielonych przez Urząd Patentowy RP w latach 2019–2023 dobrze wpisuje się w tę misję, pokazując, jak nauka może wspierać rozwiązywanie</w:t>
      </w:r>
      <w:r w:rsidR="00F56B7F">
        <w:rPr>
          <w:rFonts w:eastAsia="Times New Roman" w:cstheme="minorHAnsi"/>
          <w:i/>
          <w:iCs/>
          <w:kern w:val="36"/>
          <w:sz w:val="24"/>
          <w:szCs w:val="24"/>
          <w:lang w:eastAsia="pl-PL"/>
        </w:rPr>
        <w:t xml:space="preserve"> </w:t>
      </w:r>
      <w:r w:rsidR="00605E1F" w:rsidRPr="00605E1F">
        <w:rPr>
          <w:rFonts w:eastAsia="Times New Roman" w:cstheme="minorHAnsi"/>
          <w:i/>
          <w:iCs/>
          <w:kern w:val="36"/>
          <w:sz w:val="24"/>
          <w:szCs w:val="24"/>
          <w:lang w:eastAsia="pl-PL"/>
        </w:rPr>
        <w:t>realnych problemów rozwojowych kraju.</w:t>
      </w:r>
    </w:p>
    <w:p w14:paraId="6225FB67" w14:textId="77777777" w:rsidR="00F56B7F" w:rsidRDefault="00605E1F" w:rsidP="00605E1F">
      <w:pPr>
        <w:spacing w:before="100" w:beforeAutospacing="1" w:after="100" w:afterAutospacing="1" w:line="240" w:lineRule="auto"/>
        <w:outlineLvl w:val="1"/>
        <w:rPr>
          <w:rFonts w:eastAsia="Times New Roman" w:cstheme="minorHAnsi"/>
          <w:i/>
          <w:iCs/>
          <w:kern w:val="36"/>
          <w:sz w:val="24"/>
          <w:szCs w:val="24"/>
          <w:lang w:eastAsia="pl-PL"/>
        </w:rPr>
      </w:pPr>
      <w:r w:rsidRPr="00605E1F">
        <w:rPr>
          <w:rFonts w:eastAsia="Times New Roman" w:cstheme="minorHAnsi"/>
          <w:i/>
          <w:iCs/>
          <w:kern w:val="36"/>
          <w:sz w:val="24"/>
          <w:szCs w:val="24"/>
          <w:lang w:eastAsia="pl-PL"/>
        </w:rPr>
        <w:t>Ma to szczególne znaczenie dziś, gdy dotychczasowe źródła wzrostu polskiej gospodarki stopniowo się wyczerpują, a dalszy rozwój musi w większym stopniu opierać się na innowacjach, produktywności, wiedzy i własnych technologiach.</w:t>
      </w:r>
      <w:r w:rsidR="00BB7C9D">
        <w:rPr>
          <w:rFonts w:eastAsia="Times New Roman" w:cstheme="minorHAnsi"/>
          <w:i/>
          <w:iCs/>
          <w:kern w:val="36"/>
          <w:sz w:val="24"/>
          <w:szCs w:val="24"/>
          <w:lang w:eastAsia="pl-PL"/>
        </w:rPr>
        <w:t xml:space="preserve"> </w:t>
      </w:r>
    </w:p>
    <w:p w14:paraId="78090FE4" w14:textId="37F8E2EA" w:rsidR="00605E1F" w:rsidRPr="00605E1F" w:rsidRDefault="00605E1F" w:rsidP="00605E1F">
      <w:pPr>
        <w:spacing w:before="100" w:beforeAutospacing="1" w:after="100" w:afterAutospacing="1" w:line="240" w:lineRule="auto"/>
        <w:outlineLvl w:val="1"/>
        <w:rPr>
          <w:rFonts w:eastAsia="Times New Roman" w:cstheme="minorHAnsi"/>
          <w:kern w:val="36"/>
          <w:sz w:val="24"/>
          <w:szCs w:val="24"/>
          <w:lang w:eastAsia="pl-PL"/>
        </w:rPr>
      </w:pPr>
      <w:r w:rsidRPr="00605E1F">
        <w:rPr>
          <w:rFonts w:eastAsia="Times New Roman" w:cstheme="minorHAnsi"/>
          <w:i/>
          <w:iCs/>
          <w:kern w:val="36"/>
          <w:sz w:val="24"/>
          <w:szCs w:val="24"/>
          <w:lang w:eastAsia="pl-PL"/>
        </w:rPr>
        <w:t>Wyniki badania pokazują jednocześnie, że tradycyjne miary innowacyjności, takie jak liczba udzielonych patentów, nie zawsze odzwierciedlają rzeczywiste efekty gospodarcze. Patent jest ważnym sygnałem potencjału, ale dopiero jego wykorzystanie rynkowe przesądza o wpływie na gospodarkę.</w:t>
      </w:r>
    </w:p>
    <w:p w14:paraId="2F4B7691" w14:textId="60CEA052" w:rsidR="00605E1F" w:rsidRPr="00F56B7F" w:rsidRDefault="00605E1F" w:rsidP="00F56B7F">
      <w:pPr>
        <w:spacing w:before="100" w:beforeAutospacing="1" w:after="100" w:afterAutospacing="1" w:line="240" w:lineRule="auto"/>
        <w:outlineLvl w:val="1"/>
        <w:rPr>
          <w:rFonts w:eastAsia="Times New Roman" w:cstheme="minorHAnsi"/>
          <w:kern w:val="36"/>
          <w:sz w:val="24"/>
          <w:szCs w:val="24"/>
          <w:lang w:eastAsia="pl-PL"/>
        </w:rPr>
      </w:pPr>
      <w:r w:rsidRPr="00605E1F">
        <w:rPr>
          <w:rFonts w:eastAsia="Times New Roman" w:cstheme="minorHAnsi"/>
          <w:i/>
          <w:iCs/>
          <w:kern w:val="36"/>
          <w:sz w:val="24"/>
          <w:szCs w:val="24"/>
          <w:lang w:eastAsia="pl-PL"/>
        </w:rPr>
        <w:t>Dzięki współpracy Urzędu Patentowego RP</w:t>
      </w:r>
      <w:r w:rsidR="00F56B7F">
        <w:rPr>
          <w:rFonts w:eastAsia="Times New Roman" w:cstheme="minorHAnsi"/>
          <w:i/>
          <w:iCs/>
          <w:kern w:val="36"/>
          <w:sz w:val="24"/>
          <w:szCs w:val="24"/>
          <w:lang w:eastAsia="pl-PL"/>
        </w:rPr>
        <w:t xml:space="preserve">, SGH </w:t>
      </w:r>
      <w:r w:rsidRPr="00605E1F">
        <w:rPr>
          <w:rFonts w:eastAsia="Times New Roman" w:cstheme="minorHAnsi"/>
          <w:i/>
          <w:iCs/>
          <w:kern w:val="36"/>
          <w:sz w:val="24"/>
          <w:szCs w:val="24"/>
          <w:lang w:eastAsia="pl-PL"/>
        </w:rPr>
        <w:t>i Głównego Urzędu Statystycznego powstała unikatowa, oparta na danych diagnoza tego, które patenty trafiają na rynek, które pozostają niewykorzystane i jakie bariery ograniczają ich komercjalizację</w:t>
      </w:r>
      <w:r w:rsidR="00DB73CE">
        <w:rPr>
          <w:rFonts w:eastAsia="Times New Roman" w:cstheme="minorHAnsi"/>
          <w:i/>
          <w:iCs/>
          <w:kern w:val="36"/>
          <w:sz w:val="24"/>
          <w:szCs w:val="24"/>
          <w:lang w:eastAsia="pl-PL"/>
        </w:rPr>
        <w:t xml:space="preserve"> – </w:t>
      </w:r>
      <w:r w:rsidR="00DB73CE" w:rsidRPr="00E02353">
        <w:rPr>
          <w:rFonts w:eastAsia="Times New Roman" w:cstheme="minorHAnsi"/>
          <w:kern w:val="36"/>
          <w:sz w:val="24"/>
          <w:szCs w:val="24"/>
          <w:lang w:eastAsia="pl-PL"/>
        </w:rPr>
        <w:t xml:space="preserve">mówi rektor i prof. SGH </w:t>
      </w:r>
      <w:r w:rsidRPr="00E02353">
        <w:rPr>
          <w:rFonts w:eastAsia="Times New Roman" w:cstheme="minorHAnsi"/>
          <w:kern w:val="36"/>
          <w:sz w:val="24"/>
          <w:szCs w:val="24"/>
          <w:lang w:eastAsia="pl-PL"/>
        </w:rPr>
        <w:t>dr hab. Piotr Wachowiak</w:t>
      </w:r>
      <w:r w:rsidR="00DB73CE" w:rsidRPr="00E02353">
        <w:rPr>
          <w:rFonts w:eastAsia="Times New Roman" w:cstheme="minorHAnsi"/>
          <w:kern w:val="36"/>
          <w:sz w:val="24"/>
          <w:szCs w:val="24"/>
          <w:lang w:eastAsia="pl-PL"/>
        </w:rPr>
        <w:t>.</w:t>
      </w:r>
    </w:p>
    <w:p w14:paraId="7311E383" w14:textId="29A14B96" w:rsidR="00050908" w:rsidRPr="00050908" w:rsidRDefault="00050908" w:rsidP="00F56B7F">
      <w:pPr>
        <w:spacing w:before="100" w:beforeAutospacing="1" w:after="100" w:afterAutospacing="1" w:line="240" w:lineRule="auto"/>
        <w:outlineLvl w:val="1"/>
        <w:rPr>
          <w:rFonts w:eastAsia="Times New Roman" w:cstheme="minorHAnsi"/>
          <w:b/>
          <w:bCs/>
          <w:kern w:val="36"/>
          <w:sz w:val="24"/>
          <w:szCs w:val="24"/>
          <w:lang w:eastAsia="pl-PL"/>
        </w:rPr>
      </w:pPr>
      <w:r w:rsidRPr="00050908">
        <w:rPr>
          <w:rFonts w:eastAsia="Times New Roman" w:cstheme="minorHAnsi"/>
          <w:b/>
          <w:bCs/>
          <w:kern w:val="36"/>
          <w:sz w:val="24"/>
          <w:szCs w:val="24"/>
          <w:lang w:eastAsia="pl-PL"/>
        </w:rPr>
        <w:t>Pełny raport w grudniu</w:t>
      </w:r>
    </w:p>
    <w:p w14:paraId="383D791D" w14:textId="25DB17B7" w:rsidR="00050908" w:rsidRPr="00050908" w:rsidRDefault="00050908" w:rsidP="00F56B7F">
      <w:pPr>
        <w:spacing w:before="100" w:beforeAutospacing="1" w:after="100" w:afterAutospacing="1" w:line="240" w:lineRule="auto"/>
        <w:outlineLvl w:val="1"/>
        <w:rPr>
          <w:rFonts w:eastAsia="Times New Roman" w:cstheme="minorHAnsi"/>
          <w:b/>
          <w:bCs/>
          <w:kern w:val="36"/>
          <w:sz w:val="24"/>
          <w:szCs w:val="24"/>
          <w:lang w:eastAsia="pl-PL"/>
        </w:rPr>
      </w:pPr>
      <w:r w:rsidRPr="00050908">
        <w:rPr>
          <w:rFonts w:eastAsia="Times New Roman" w:cstheme="minorHAnsi"/>
          <w:kern w:val="36"/>
          <w:sz w:val="24"/>
          <w:szCs w:val="24"/>
          <w:lang w:eastAsia="pl-PL"/>
        </w:rPr>
        <w:t xml:space="preserve">Pełne wyniki badania wraz z raportem i pogłębioną analizą zostaną przedstawione podczas międzynarodowej konferencji </w:t>
      </w:r>
      <w:r w:rsidRPr="00050908">
        <w:rPr>
          <w:rFonts w:eastAsia="Times New Roman" w:cstheme="minorHAnsi"/>
          <w:b/>
          <w:bCs/>
          <w:kern w:val="36"/>
          <w:sz w:val="24"/>
          <w:szCs w:val="24"/>
          <w:lang w:eastAsia="pl-PL"/>
        </w:rPr>
        <w:t xml:space="preserve">„Uwolnić wartość IP: finansowanie, wycena, komercjalizacja”, </w:t>
      </w:r>
      <w:r w:rsidRPr="00050908">
        <w:rPr>
          <w:rFonts w:eastAsia="Times New Roman" w:cstheme="minorHAnsi"/>
          <w:kern w:val="36"/>
          <w:sz w:val="24"/>
          <w:szCs w:val="24"/>
          <w:lang w:eastAsia="pl-PL"/>
        </w:rPr>
        <w:t>organizowanej przez Urząd Patentowy Rzeczypospolitej Polskiej we współpracy ze Szkołą Główną Handlową w Warszawie.</w:t>
      </w:r>
      <w:r w:rsidRPr="00050908">
        <w:rPr>
          <w:rFonts w:eastAsia="Times New Roman" w:cstheme="minorHAnsi"/>
          <w:b/>
          <w:bCs/>
          <w:kern w:val="36"/>
          <w:sz w:val="24"/>
          <w:szCs w:val="24"/>
          <w:lang w:eastAsia="pl-PL"/>
        </w:rPr>
        <w:t xml:space="preserve"> Konferencja odbędzie się 1</w:t>
      </w:r>
      <w:r w:rsidR="00541ECE">
        <w:rPr>
          <w:rFonts w:eastAsia="Times New Roman" w:cstheme="minorHAnsi"/>
          <w:b/>
          <w:bCs/>
          <w:kern w:val="36"/>
          <w:sz w:val="24"/>
          <w:szCs w:val="24"/>
          <w:lang w:eastAsia="pl-PL"/>
        </w:rPr>
        <w:t>–</w:t>
      </w:r>
      <w:r w:rsidRPr="00050908">
        <w:rPr>
          <w:rFonts w:eastAsia="Times New Roman" w:cstheme="minorHAnsi"/>
          <w:b/>
          <w:bCs/>
          <w:kern w:val="36"/>
          <w:sz w:val="24"/>
          <w:szCs w:val="24"/>
          <w:lang w:eastAsia="pl-PL"/>
        </w:rPr>
        <w:t>2 grudnia 2026 r. w</w:t>
      </w:r>
      <w:r w:rsidR="00541ECE">
        <w:rPr>
          <w:rFonts w:eastAsia="Times New Roman" w:cstheme="minorHAnsi"/>
          <w:b/>
          <w:bCs/>
          <w:kern w:val="36"/>
          <w:sz w:val="24"/>
          <w:szCs w:val="24"/>
          <w:lang w:eastAsia="pl-PL"/>
        </w:rPr>
        <w:t xml:space="preserve"> SGH</w:t>
      </w:r>
      <w:r w:rsidRPr="00050908">
        <w:rPr>
          <w:rFonts w:eastAsia="Times New Roman" w:cstheme="minorHAnsi"/>
          <w:b/>
          <w:bCs/>
          <w:kern w:val="36"/>
          <w:sz w:val="24"/>
          <w:szCs w:val="24"/>
          <w:lang w:eastAsia="pl-PL"/>
        </w:rPr>
        <w:t>.</w:t>
      </w:r>
    </w:p>
    <w:p w14:paraId="295C2E32" w14:textId="77777777" w:rsidR="00050908" w:rsidRPr="00050908" w:rsidRDefault="00050908" w:rsidP="007007BC">
      <w:pPr>
        <w:spacing w:before="100" w:beforeAutospacing="1" w:after="100" w:afterAutospacing="1" w:line="240" w:lineRule="auto"/>
        <w:outlineLvl w:val="1"/>
        <w:rPr>
          <w:rFonts w:eastAsia="Times New Roman" w:cstheme="minorHAnsi"/>
          <w:b/>
          <w:bCs/>
          <w:kern w:val="36"/>
          <w:sz w:val="24"/>
          <w:szCs w:val="24"/>
          <w:lang w:eastAsia="pl-PL"/>
        </w:rPr>
      </w:pPr>
      <w:r w:rsidRPr="00050908">
        <w:rPr>
          <w:rFonts w:eastAsia="Times New Roman" w:cstheme="minorHAnsi"/>
          <w:b/>
          <w:bCs/>
          <w:kern w:val="36"/>
          <w:sz w:val="24"/>
          <w:szCs w:val="24"/>
          <w:lang w:eastAsia="pl-PL"/>
        </w:rPr>
        <w:t>Materiały dodatkowe</w:t>
      </w:r>
    </w:p>
    <w:p w14:paraId="5064F3C7" w14:textId="661A38A4" w:rsidR="00050908" w:rsidRPr="00050908" w:rsidRDefault="0080174B" w:rsidP="007007BC">
      <w:pPr>
        <w:spacing w:before="100" w:beforeAutospacing="1" w:after="100" w:afterAutospacing="1" w:line="240" w:lineRule="auto"/>
        <w:outlineLvl w:val="1"/>
        <w:rPr>
          <w:rFonts w:eastAsia="Times New Roman" w:cstheme="minorHAnsi"/>
          <w:kern w:val="36"/>
          <w:sz w:val="24"/>
          <w:szCs w:val="24"/>
          <w:lang w:eastAsia="pl-PL"/>
        </w:rPr>
      </w:pPr>
      <w:hyperlink r:id="rId9" w:history="1">
        <w:r w:rsidR="00050908" w:rsidRPr="0080174B">
          <w:rPr>
            <w:rStyle w:val="Hipercze"/>
            <w:rFonts w:eastAsia="Times New Roman" w:cstheme="minorHAnsi"/>
            <w:kern w:val="36"/>
            <w:sz w:val="24"/>
            <w:szCs w:val="24"/>
            <w:lang w:eastAsia="pl-PL"/>
          </w:rPr>
          <w:t>W załączeniu przekazujemy materiał uzupełniający zawierający szczegółowe informacje o badaniu, zastosowanej metodologii oraz najważniejszych wynikach</w:t>
        </w:r>
      </w:hyperlink>
      <w:r w:rsidR="00050908" w:rsidRPr="00050908">
        <w:rPr>
          <w:rFonts w:eastAsia="Times New Roman" w:cstheme="minorHAnsi"/>
          <w:kern w:val="36"/>
          <w:sz w:val="24"/>
          <w:szCs w:val="24"/>
          <w:lang w:eastAsia="pl-PL"/>
        </w:rPr>
        <w:t>.</w:t>
      </w:r>
    </w:p>
    <w:p w14:paraId="1D954455" w14:textId="0DE99588" w:rsidR="00F71D66" w:rsidRPr="00050908" w:rsidRDefault="00F71D66" w:rsidP="00A539D8">
      <w:pPr>
        <w:autoSpaceDE w:val="0"/>
        <w:autoSpaceDN w:val="0"/>
        <w:adjustRightInd w:val="0"/>
        <w:spacing w:after="0" w:line="264" w:lineRule="auto"/>
        <w:rPr>
          <w:rFonts w:cstheme="minorHAnsi"/>
          <w:b/>
          <w:sz w:val="24"/>
          <w:szCs w:val="24"/>
        </w:rPr>
      </w:pPr>
      <w:r w:rsidRPr="00050908">
        <w:rPr>
          <w:rFonts w:cstheme="minorHAnsi"/>
          <w:b/>
          <w:sz w:val="24"/>
          <w:szCs w:val="24"/>
        </w:rPr>
        <w:t>Kontakt dla mediów</w:t>
      </w:r>
    </w:p>
    <w:p w14:paraId="10A7D6D3" w14:textId="77777777" w:rsidR="00952031" w:rsidRPr="00952031" w:rsidRDefault="00952031" w:rsidP="00A539D8">
      <w:pPr>
        <w:autoSpaceDE w:val="0"/>
        <w:autoSpaceDN w:val="0"/>
        <w:adjustRightInd w:val="0"/>
        <w:spacing w:after="0" w:line="264" w:lineRule="auto"/>
        <w:rPr>
          <w:rFonts w:cstheme="minorHAnsi"/>
          <w:b/>
          <w:sz w:val="18"/>
          <w:szCs w:val="18"/>
        </w:rPr>
      </w:pPr>
    </w:p>
    <w:p w14:paraId="026B208A" w14:textId="73A918D0" w:rsidR="00F71D66" w:rsidRPr="00050908" w:rsidRDefault="00696106" w:rsidP="00A539D8">
      <w:pPr>
        <w:autoSpaceDE w:val="0"/>
        <w:autoSpaceDN w:val="0"/>
        <w:adjustRightInd w:val="0"/>
        <w:spacing w:after="0" w:line="264" w:lineRule="auto"/>
        <w:rPr>
          <w:rFonts w:cstheme="minorHAnsi"/>
          <w:sz w:val="24"/>
          <w:szCs w:val="24"/>
        </w:rPr>
      </w:pPr>
      <w:r w:rsidRPr="00050908">
        <w:rPr>
          <w:rFonts w:cstheme="minorHAnsi"/>
          <w:sz w:val="24"/>
          <w:szCs w:val="24"/>
        </w:rPr>
        <w:t>Olga Wieszczek</w:t>
      </w:r>
      <w:r w:rsidR="00F71D66" w:rsidRPr="00050908">
        <w:rPr>
          <w:rFonts w:cstheme="minorHAnsi"/>
          <w:sz w:val="24"/>
          <w:szCs w:val="24"/>
        </w:rPr>
        <w:t>,</w:t>
      </w:r>
      <w:r w:rsidRPr="00050908">
        <w:rPr>
          <w:rFonts w:cstheme="minorHAnsi"/>
          <w:sz w:val="24"/>
          <w:szCs w:val="24"/>
        </w:rPr>
        <w:t xml:space="preserve"> </w:t>
      </w:r>
      <w:r w:rsidR="004D4CD4">
        <w:rPr>
          <w:rFonts w:cstheme="minorHAnsi"/>
          <w:sz w:val="24"/>
          <w:szCs w:val="24"/>
        </w:rPr>
        <w:t>d</w:t>
      </w:r>
      <w:r w:rsidRPr="00050908">
        <w:rPr>
          <w:rFonts w:cstheme="minorHAnsi"/>
          <w:sz w:val="24"/>
          <w:szCs w:val="24"/>
        </w:rPr>
        <w:t xml:space="preserve">yrektor </w:t>
      </w:r>
      <w:r w:rsidR="004D4CD4">
        <w:rPr>
          <w:rFonts w:cstheme="minorHAnsi"/>
          <w:sz w:val="24"/>
          <w:szCs w:val="24"/>
        </w:rPr>
        <w:t>D</w:t>
      </w:r>
      <w:r w:rsidRPr="00050908">
        <w:rPr>
          <w:rFonts w:cstheme="minorHAnsi"/>
          <w:sz w:val="24"/>
          <w:szCs w:val="24"/>
        </w:rPr>
        <w:t xml:space="preserve">epartamentu </w:t>
      </w:r>
      <w:r w:rsidR="004D4CD4">
        <w:rPr>
          <w:rFonts w:cstheme="minorHAnsi"/>
          <w:sz w:val="24"/>
          <w:szCs w:val="24"/>
        </w:rPr>
        <w:t>K</w:t>
      </w:r>
      <w:r w:rsidRPr="00050908">
        <w:rPr>
          <w:rFonts w:cstheme="minorHAnsi"/>
          <w:sz w:val="24"/>
          <w:szCs w:val="24"/>
        </w:rPr>
        <w:t xml:space="preserve">omunikacji </w:t>
      </w:r>
      <w:r w:rsidR="00F71D66" w:rsidRPr="00050908">
        <w:rPr>
          <w:rFonts w:cstheme="minorHAnsi"/>
          <w:sz w:val="24"/>
          <w:szCs w:val="24"/>
        </w:rPr>
        <w:t xml:space="preserve">Urzędu Patentowego </w:t>
      </w:r>
      <w:r w:rsidR="004D4CD4">
        <w:rPr>
          <w:rFonts w:cstheme="minorHAnsi"/>
          <w:sz w:val="24"/>
          <w:szCs w:val="24"/>
        </w:rPr>
        <w:t>RP</w:t>
      </w:r>
    </w:p>
    <w:p w14:paraId="411809F0" w14:textId="5182EB04" w:rsidR="004F44C0" w:rsidRPr="007007BC" w:rsidRDefault="00696106" w:rsidP="00A539D8">
      <w:pPr>
        <w:autoSpaceDE w:val="0"/>
        <w:autoSpaceDN w:val="0"/>
        <w:adjustRightInd w:val="0"/>
        <w:spacing w:after="0" w:line="264" w:lineRule="auto"/>
        <w:rPr>
          <w:rFonts w:cstheme="minorHAnsi"/>
          <w:sz w:val="24"/>
          <w:szCs w:val="24"/>
          <w:lang w:val="fr-FR"/>
        </w:rPr>
      </w:pPr>
      <w:r w:rsidRPr="007007BC">
        <w:rPr>
          <w:rFonts w:cstheme="minorHAnsi"/>
          <w:sz w:val="24"/>
          <w:szCs w:val="24"/>
          <w:lang w:val="fr-FR"/>
        </w:rPr>
        <w:t>olga</w:t>
      </w:r>
      <w:r w:rsidR="00F71D66" w:rsidRPr="007007BC">
        <w:rPr>
          <w:rFonts w:cstheme="minorHAnsi"/>
          <w:sz w:val="24"/>
          <w:szCs w:val="24"/>
          <w:lang w:val="fr-FR"/>
        </w:rPr>
        <w:t>.</w:t>
      </w:r>
      <w:r w:rsidRPr="007007BC">
        <w:rPr>
          <w:rFonts w:cstheme="minorHAnsi"/>
          <w:sz w:val="24"/>
          <w:szCs w:val="24"/>
          <w:lang w:val="fr-FR"/>
        </w:rPr>
        <w:t>wieszczek</w:t>
      </w:r>
      <w:r w:rsidR="00F71D66" w:rsidRPr="007007BC">
        <w:rPr>
          <w:rFonts w:cstheme="minorHAnsi"/>
          <w:sz w:val="24"/>
          <w:szCs w:val="24"/>
          <w:lang w:val="fr-FR"/>
        </w:rPr>
        <w:t>@uprp.gov.pl, tel. 5</w:t>
      </w:r>
      <w:r w:rsidRPr="007007BC">
        <w:rPr>
          <w:rFonts w:cstheme="minorHAnsi"/>
          <w:sz w:val="24"/>
          <w:szCs w:val="24"/>
          <w:lang w:val="fr-FR"/>
        </w:rPr>
        <w:t>02 58 28 94</w:t>
      </w:r>
    </w:p>
    <w:p w14:paraId="06B73C82" w14:textId="77777777" w:rsidR="00D7273B" w:rsidRPr="007007BC" w:rsidRDefault="00D7273B" w:rsidP="00A539D8">
      <w:pPr>
        <w:autoSpaceDE w:val="0"/>
        <w:autoSpaceDN w:val="0"/>
        <w:adjustRightInd w:val="0"/>
        <w:spacing w:after="0" w:line="264" w:lineRule="auto"/>
        <w:rPr>
          <w:rFonts w:cstheme="minorHAnsi"/>
          <w:sz w:val="24"/>
          <w:szCs w:val="24"/>
          <w:lang w:val="fr-FR"/>
        </w:rPr>
      </w:pPr>
    </w:p>
    <w:p w14:paraId="2D7ABFE1" w14:textId="292A6102" w:rsidR="00D7273B" w:rsidRDefault="0049010A" w:rsidP="00A539D8">
      <w:pPr>
        <w:autoSpaceDE w:val="0"/>
        <w:autoSpaceDN w:val="0"/>
        <w:adjustRightInd w:val="0"/>
        <w:spacing w:after="0" w:line="264" w:lineRule="auto"/>
        <w:rPr>
          <w:rFonts w:cstheme="minorHAnsi"/>
          <w:sz w:val="24"/>
          <w:szCs w:val="24"/>
        </w:rPr>
      </w:pPr>
      <w:r w:rsidRPr="007007BC">
        <w:rPr>
          <w:rFonts w:cstheme="minorHAnsi"/>
          <w:sz w:val="24"/>
          <w:szCs w:val="24"/>
          <w:lang w:val="fr-FR"/>
        </w:rPr>
        <w:t xml:space="preserve">dr hab. </w:t>
      </w:r>
      <w:r w:rsidRPr="007007BC">
        <w:rPr>
          <w:rFonts w:cstheme="minorHAnsi"/>
          <w:sz w:val="24"/>
          <w:szCs w:val="24"/>
        </w:rPr>
        <w:t>Mariusz-Jan Radło,</w:t>
      </w:r>
      <w:r>
        <w:rPr>
          <w:rFonts w:cstheme="minorHAnsi"/>
          <w:sz w:val="24"/>
          <w:szCs w:val="24"/>
        </w:rPr>
        <w:t xml:space="preserve"> prof. SGH</w:t>
      </w:r>
      <w:r w:rsidR="00CA0386">
        <w:rPr>
          <w:rFonts w:cstheme="minorHAnsi"/>
          <w:sz w:val="24"/>
          <w:szCs w:val="24"/>
        </w:rPr>
        <w:t>,</w:t>
      </w:r>
      <w:r w:rsidR="00F076D4">
        <w:rPr>
          <w:rFonts w:cstheme="minorHAnsi"/>
          <w:sz w:val="24"/>
          <w:szCs w:val="24"/>
        </w:rPr>
        <w:t xml:space="preserve"> </w:t>
      </w:r>
      <w:r w:rsidR="00F076D4" w:rsidRPr="00F076D4">
        <w:rPr>
          <w:rFonts w:cstheme="minorHAnsi"/>
          <w:sz w:val="24"/>
          <w:szCs w:val="24"/>
        </w:rPr>
        <w:t>kierownik Katedr</w:t>
      </w:r>
      <w:r w:rsidR="00F076D4">
        <w:rPr>
          <w:rFonts w:cstheme="minorHAnsi"/>
          <w:sz w:val="24"/>
          <w:szCs w:val="24"/>
        </w:rPr>
        <w:t>y</w:t>
      </w:r>
      <w:r w:rsidR="00F076D4" w:rsidRPr="00F076D4">
        <w:rPr>
          <w:rFonts w:cstheme="minorHAnsi"/>
          <w:sz w:val="24"/>
          <w:szCs w:val="24"/>
        </w:rPr>
        <w:t xml:space="preserve"> Globalnych Współzależności Gospodarczych, Instytut Gospodarki Światowej, Kolegium Gospodarki Światowej SGH</w:t>
      </w:r>
    </w:p>
    <w:p w14:paraId="0FD3BABC" w14:textId="1CE8F0B6" w:rsidR="00CA0386" w:rsidRPr="007007BC" w:rsidRDefault="00BB02C0" w:rsidP="00A539D8">
      <w:pPr>
        <w:autoSpaceDE w:val="0"/>
        <w:autoSpaceDN w:val="0"/>
        <w:adjustRightInd w:val="0"/>
        <w:spacing w:after="0" w:line="264" w:lineRule="auto"/>
        <w:rPr>
          <w:rFonts w:cstheme="minorHAnsi"/>
          <w:sz w:val="24"/>
          <w:szCs w:val="24"/>
          <w:lang w:val="en-US"/>
        </w:rPr>
      </w:pPr>
      <w:hyperlink r:id="rId10" w:history="1">
        <w:r w:rsidRPr="007007BC">
          <w:rPr>
            <w:rStyle w:val="Hipercze"/>
            <w:rFonts w:cstheme="minorHAnsi"/>
            <w:sz w:val="24"/>
            <w:szCs w:val="24"/>
            <w:lang w:val="en-US"/>
          </w:rPr>
          <w:t>mjradlo@sgh.waw.pl</w:t>
        </w:r>
      </w:hyperlink>
      <w:r w:rsidRPr="007007BC">
        <w:rPr>
          <w:rFonts w:cstheme="minorHAnsi"/>
          <w:sz w:val="24"/>
          <w:szCs w:val="24"/>
          <w:lang w:val="en-US"/>
        </w:rPr>
        <w:t>, tel.</w:t>
      </w:r>
      <w:r>
        <w:rPr>
          <w:rFonts w:cstheme="minorHAnsi"/>
          <w:sz w:val="24"/>
          <w:szCs w:val="24"/>
          <w:lang w:val="en-US"/>
        </w:rPr>
        <w:t xml:space="preserve"> </w:t>
      </w:r>
      <w:r w:rsidR="00DB55E8">
        <w:rPr>
          <w:rFonts w:cstheme="minorHAnsi"/>
          <w:sz w:val="24"/>
          <w:szCs w:val="24"/>
          <w:lang w:val="en-US"/>
        </w:rPr>
        <w:t>505 168 977</w:t>
      </w:r>
    </w:p>
    <w:sectPr w:rsidR="00CA0386" w:rsidRPr="007007BC" w:rsidSect="006C5F86">
      <w:footerReference w:type="default" r:id="rId11"/>
      <w:pgSz w:w="11906" w:h="16838"/>
      <w:pgMar w:top="62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CAFB8" w14:textId="77777777" w:rsidR="000B44BB" w:rsidRDefault="000B44BB" w:rsidP="000E05AF">
      <w:pPr>
        <w:spacing w:after="0" w:line="240" w:lineRule="auto"/>
      </w:pPr>
      <w:r>
        <w:separator/>
      </w:r>
    </w:p>
  </w:endnote>
  <w:endnote w:type="continuationSeparator" w:id="0">
    <w:p w14:paraId="3CAD0553" w14:textId="77777777" w:rsidR="000B44BB" w:rsidRDefault="000B44BB" w:rsidP="000E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16"/>
        <w:szCs w:val="16"/>
      </w:rPr>
      <w:id w:val="551199204"/>
      <w:docPartObj>
        <w:docPartGallery w:val="Page Numbers (Bottom of Page)"/>
        <w:docPartUnique/>
      </w:docPartObj>
    </w:sdtPr>
    <w:sdtContent>
      <w:p w14:paraId="3BF0A420" w14:textId="7FCC557A" w:rsidR="008A5A95" w:rsidRPr="008A5A95" w:rsidRDefault="008A5A95">
        <w:pPr>
          <w:pStyle w:val="Stopka"/>
          <w:jc w:val="right"/>
          <w:rPr>
            <w:rFonts w:asciiTheme="majorHAnsi" w:eastAsiaTheme="majorEastAsia" w:hAnsiTheme="majorHAnsi" w:cstheme="majorBidi"/>
            <w:sz w:val="16"/>
            <w:szCs w:val="16"/>
          </w:rPr>
        </w:pPr>
        <w:r w:rsidRPr="008A5A95">
          <w:rPr>
            <w:rFonts w:asciiTheme="majorHAnsi" w:eastAsiaTheme="majorEastAsia" w:hAnsiTheme="majorHAnsi" w:cstheme="majorBidi"/>
            <w:sz w:val="16"/>
            <w:szCs w:val="16"/>
          </w:rPr>
          <w:t xml:space="preserve">str. </w:t>
        </w:r>
        <w:r w:rsidRPr="008A5A95">
          <w:rPr>
            <w:rFonts w:eastAsiaTheme="minorEastAsia" w:cs="Times New Roman"/>
            <w:sz w:val="16"/>
            <w:szCs w:val="16"/>
          </w:rPr>
          <w:fldChar w:fldCharType="begin"/>
        </w:r>
        <w:r w:rsidRPr="008A5A95">
          <w:rPr>
            <w:sz w:val="16"/>
            <w:szCs w:val="16"/>
          </w:rPr>
          <w:instrText>PAGE    \* MERGEFORMAT</w:instrText>
        </w:r>
        <w:r w:rsidRPr="008A5A95">
          <w:rPr>
            <w:rFonts w:eastAsiaTheme="minorEastAsia" w:cs="Times New Roman"/>
            <w:sz w:val="16"/>
            <w:szCs w:val="16"/>
          </w:rPr>
          <w:fldChar w:fldCharType="separate"/>
        </w:r>
        <w:r w:rsidR="00E56AA9" w:rsidRPr="00E56AA9">
          <w:rPr>
            <w:rFonts w:asciiTheme="majorHAnsi" w:eastAsiaTheme="majorEastAsia" w:hAnsiTheme="majorHAnsi" w:cstheme="majorBidi"/>
            <w:noProof/>
            <w:sz w:val="16"/>
            <w:szCs w:val="16"/>
          </w:rPr>
          <w:t>3</w:t>
        </w:r>
        <w:r w:rsidRPr="008A5A95">
          <w:rPr>
            <w:rFonts w:asciiTheme="majorHAnsi" w:eastAsiaTheme="majorEastAsia" w:hAnsiTheme="majorHAnsi" w:cstheme="majorBidi"/>
            <w:sz w:val="16"/>
            <w:szCs w:val="16"/>
          </w:rPr>
          <w:fldChar w:fldCharType="end"/>
        </w:r>
      </w:p>
    </w:sdtContent>
  </w:sdt>
  <w:p w14:paraId="6FDF777A" w14:textId="77777777" w:rsidR="000E05AF" w:rsidRDefault="000E05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CCC3B" w14:textId="77777777" w:rsidR="000B44BB" w:rsidRDefault="000B44BB" w:rsidP="000E05AF">
      <w:pPr>
        <w:spacing w:after="0" w:line="240" w:lineRule="auto"/>
      </w:pPr>
      <w:r>
        <w:separator/>
      </w:r>
    </w:p>
  </w:footnote>
  <w:footnote w:type="continuationSeparator" w:id="0">
    <w:p w14:paraId="32935F8D" w14:textId="77777777" w:rsidR="000B44BB" w:rsidRDefault="000B44BB" w:rsidP="000E0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762E"/>
    <w:multiLevelType w:val="hybridMultilevel"/>
    <w:tmpl w:val="32160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F5E6C75"/>
    <w:multiLevelType w:val="hybridMultilevel"/>
    <w:tmpl w:val="44701320"/>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1DE7367"/>
    <w:multiLevelType w:val="hybridMultilevel"/>
    <w:tmpl w:val="2FA8B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7093A2D"/>
    <w:multiLevelType w:val="hybridMultilevel"/>
    <w:tmpl w:val="38B01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C09D9"/>
    <w:multiLevelType w:val="hybridMultilevel"/>
    <w:tmpl w:val="15E44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C704AFA"/>
    <w:multiLevelType w:val="hybridMultilevel"/>
    <w:tmpl w:val="1818D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6931326">
    <w:abstractNumId w:val="2"/>
  </w:num>
  <w:num w:numId="2" w16cid:durableId="1192643025">
    <w:abstractNumId w:val="3"/>
  </w:num>
  <w:num w:numId="3" w16cid:durableId="1452240821">
    <w:abstractNumId w:val="1"/>
  </w:num>
  <w:num w:numId="4" w16cid:durableId="1619989079">
    <w:abstractNumId w:val="4"/>
  </w:num>
  <w:num w:numId="5" w16cid:durableId="336932393">
    <w:abstractNumId w:val="0"/>
  </w:num>
  <w:num w:numId="6" w16cid:durableId="873272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862"/>
    <w:rsid w:val="000001AA"/>
    <w:rsid w:val="00005896"/>
    <w:rsid w:val="000064A6"/>
    <w:rsid w:val="00012D6E"/>
    <w:rsid w:val="00014555"/>
    <w:rsid w:val="00015E7F"/>
    <w:rsid w:val="00017C39"/>
    <w:rsid w:val="00021043"/>
    <w:rsid w:val="000248A5"/>
    <w:rsid w:val="000376F0"/>
    <w:rsid w:val="00041AAF"/>
    <w:rsid w:val="00050908"/>
    <w:rsid w:val="00050B13"/>
    <w:rsid w:val="00055A15"/>
    <w:rsid w:val="000560C8"/>
    <w:rsid w:val="00061AD9"/>
    <w:rsid w:val="00061D96"/>
    <w:rsid w:val="00073BAC"/>
    <w:rsid w:val="00074AB0"/>
    <w:rsid w:val="00076F55"/>
    <w:rsid w:val="00077E16"/>
    <w:rsid w:val="00082C6E"/>
    <w:rsid w:val="000A38EE"/>
    <w:rsid w:val="000A6BEE"/>
    <w:rsid w:val="000A6C2B"/>
    <w:rsid w:val="000A780C"/>
    <w:rsid w:val="000B3B17"/>
    <w:rsid w:val="000B44BB"/>
    <w:rsid w:val="000B4C89"/>
    <w:rsid w:val="000B5E1D"/>
    <w:rsid w:val="000B6035"/>
    <w:rsid w:val="000C13D8"/>
    <w:rsid w:val="000C2922"/>
    <w:rsid w:val="000C3C7B"/>
    <w:rsid w:val="000C4C17"/>
    <w:rsid w:val="000C6F92"/>
    <w:rsid w:val="000D1E00"/>
    <w:rsid w:val="000E05AF"/>
    <w:rsid w:val="000E11EA"/>
    <w:rsid w:val="000E1FA4"/>
    <w:rsid w:val="000E29C7"/>
    <w:rsid w:val="000E3B57"/>
    <w:rsid w:val="000E50AC"/>
    <w:rsid w:val="000E69D0"/>
    <w:rsid w:val="000F0450"/>
    <w:rsid w:val="000F49FC"/>
    <w:rsid w:val="000F68C7"/>
    <w:rsid w:val="000F7EAF"/>
    <w:rsid w:val="00102DEA"/>
    <w:rsid w:val="001064F6"/>
    <w:rsid w:val="00106597"/>
    <w:rsid w:val="00107444"/>
    <w:rsid w:val="00113CE4"/>
    <w:rsid w:val="00114933"/>
    <w:rsid w:val="0011797C"/>
    <w:rsid w:val="00123AC2"/>
    <w:rsid w:val="00130873"/>
    <w:rsid w:val="00130CFF"/>
    <w:rsid w:val="00140B83"/>
    <w:rsid w:val="00151635"/>
    <w:rsid w:val="00152928"/>
    <w:rsid w:val="00163260"/>
    <w:rsid w:val="001642A4"/>
    <w:rsid w:val="00170DF3"/>
    <w:rsid w:val="00173172"/>
    <w:rsid w:val="001754A3"/>
    <w:rsid w:val="0018034E"/>
    <w:rsid w:val="00182741"/>
    <w:rsid w:val="00183C9E"/>
    <w:rsid w:val="00187FF9"/>
    <w:rsid w:val="00192020"/>
    <w:rsid w:val="001928A9"/>
    <w:rsid w:val="00196B8C"/>
    <w:rsid w:val="001A062E"/>
    <w:rsid w:val="001A266E"/>
    <w:rsid w:val="001A60F0"/>
    <w:rsid w:val="001A652C"/>
    <w:rsid w:val="001B0AB8"/>
    <w:rsid w:val="001D2FA9"/>
    <w:rsid w:val="001D324F"/>
    <w:rsid w:val="001D65CA"/>
    <w:rsid w:val="001E3DE2"/>
    <w:rsid w:val="001E52CB"/>
    <w:rsid w:val="001E5DAA"/>
    <w:rsid w:val="001E7F71"/>
    <w:rsid w:val="001F0A0B"/>
    <w:rsid w:val="00201734"/>
    <w:rsid w:val="0020278F"/>
    <w:rsid w:val="0020574F"/>
    <w:rsid w:val="00207FEB"/>
    <w:rsid w:val="00214862"/>
    <w:rsid w:val="00223647"/>
    <w:rsid w:val="002257DD"/>
    <w:rsid w:val="00233807"/>
    <w:rsid w:val="0023417F"/>
    <w:rsid w:val="0024735F"/>
    <w:rsid w:val="002552C9"/>
    <w:rsid w:val="002670E8"/>
    <w:rsid w:val="00286F74"/>
    <w:rsid w:val="002A28CE"/>
    <w:rsid w:val="002A75C7"/>
    <w:rsid w:val="002B3D97"/>
    <w:rsid w:val="002C3C15"/>
    <w:rsid w:val="002C5CAF"/>
    <w:rsid w:val="002D00AA"/>
    <w:rsid w:val="002D56D3"/>
    <w:rsid w:val="002E102F"/>
    <w:rsid w:val="002E2FEF"/>
    <w:rsid w:val="002E4A95"/>
    <w:rsid w:val="002F2F02"/>
    <w:rsid w:val="00300096"/>
    <w:rsid w:val="00300EA8"/>
    <w:rsid w:val="00302AF6"/>
    <w:rsid w:val="00311DCF"/>
    <w:rsid w:val="00314952"/>
    <w:rsid w:val="003171B5"/>
    <w:rsid w:val="0032059F"/>
    <w:rsid w:val="0032176D"/>
    <w:rsid w:val="003221DA"/>
    <w:rsid w:val="00322BA9"/>
    <w:rsid w:val="00326552"/>
    <w:rsid w:val="00332E49"/>
    <w:rsid w:val="00340211"/>
    <w:rsid w:val="00342052"/>
    <w:rsid w:val="00354986"/>
    <w:rsid w:val="00362030"/>
    <w:rsid w:val="00362D1A"/>
    <w:rsid w:val="00366088"/>
    <w:rsid w:val="003700C2"/>
    <w:rsid w:val="00372EA8"/>
    <w:rsid w:val="00375889"/>
    <w:rsid w:val="00383189"/>
    <w:rsid w:val="00396809"/>
    <w:rsid w:val="003A6582"/>
    <w:rsid w:val="003A75FC"/>
    <w:rsid w:val="003B065E"/>
    <w:rsid w:val="003B26AA"/>
    <w:rsid w:val="003B4B5F"/>
    <w:rsid w:val="003C2182"/>
    <w:rsid w:val="003C27FB"/>
    <w:rsid w:val="003E1042"/>
    <w:rsid w:val="003E2298"/>
    <w:rsid w:val="00402B55"/>
    <w:rsid w:val="00405813"/>
    <w:rsid w:val="0040668D"/>
    <w:rsid w:val="00406D72"/>
    <w:rsid w:val="004203FD"/>
    <w:rsid w:val="004211E8"/>
    <w:rsid w:val="00422A53"/>
    <w:rsid w:val="004272C0"/>
    <w:rsid w:val="00431DBE"/>
    <w:rsid w:val="00437E8C"/>
    <w:rsid w:val="00440D6F"/>
    <w:rsid w:val="00442A60"/>
    <w:rsid w:val="00463AE4"/>
    <w:rsid w:val="0046550F"/>
    <w:rsid w:val="00480B43"/>
    <w:rsid w:val="00480D37"/>
    <w:rsid w:val="00482B9F"/>
    <w:rsid w:val="0049010A"/>
    <w:rsid w:val="00491CC8"/>
    <w:rsid w:val="004930C3"/>
    <w:rsid w:val="00494E95"/>
    <w:rsid w:val="004A6ED5"/>
    <w:rsid w:val="004B2EC5"/>
    <w:rsid w:val="004B5A65"/>
    <w:rsid w:val="004B6FE0"/>
    <w:rsid w:val="004C2339"/>
    <w:rsid w:val="004C58CF"/>
    <w:rsid w:val="004C6D44"/>
    <w:rsid w:val="004D4CD4"/>
    <w:rsid w:val="004E4457"/>
    <w:rsid w:val="004E4B52"/>
    <w:rsid w:val="004E7B89"/>
    <w:rsid w:val="004F2697"/>
    <w:rsid w:val="004F44C0"/>
    <w:rsid w:val="004F4E64"/>
    <w:rsid w:val="004F4FB9"/>
    <w:rsid w:val="004F5FE2"/>
    <w:rsid w:val="004F6419"/>
    <w:rsid w:val="004F6BF7"/>
    <w:rsid w:val="004F729B"/>
    <w:rsid w:val="004F750B"/>
    <w:rsid w:val="005068D2"/>
    <w:rsid w:val="00507B13"/>
    <w:rsid w:val="00517DAC"/>
    <w:rsid w:val="00525934"/>
    <w:rsid w:val="00530969"/>
    <w:rsid w:val="00534142"/>
    <w:rsid w:val="00541ECE"/>
    <w:rsid w:val="0054640C"/>
    <w:rsid w:val="0056357A"/>
    <w:rsid w:val="00565CA0"/>
    <w:rsid w:val="00565E8F"/>
    <w:rsid w:val="005677EB"/>
    <w:rsid w:val="0057016F"/>
    <w:rsid w:val="0057145D"/>
    <w:rsid w:val="0057346A"/>
    <w:rsid w:val="00585442"/>
    <w:rsid w:val="005866E9"/>
    <w:rsid w:val="005871D3"/>
    <w:rsid w:val="005874BA"/>
    <w:rsid w:val="005906B8"/>
    <w:rsid w:val="005921C8"/>
    <w:rsid w:val="005A6614"/>
    <w:rsid w:val="005B0138"/>
    <w:rsid w:val="005B0437"/>
    <w:rsid w:val="005B2B46"/>
    <w:rsid w:val="005C0DF0"/>
    <w:rsid w:val="005C0E55"/>
    <w:rsid w:val="005D2C87"/>
    <w:rsid w:val="005D38FE"/>
    <w:rsid w:val="005D5452"/>
    <w:rsid w:val="005D58AA"/>
    <w:rsid w:val="005D6D7E"/>
    <w:rsid w:val="005E0E64"/>
    <w:rsid w:val="005E33EB"/>
    <w:rsid w:val="005E3C61"/>
    <w:rsid w:val="005E6457"/>
    <w:rsid w:val="00600060"/>
    <w:rsid w:val="00601CAA"/>
    <w:rsid w:val="0060242A"/>
    <w:rsid w:val="00605E1F"/>
    <w:rsid w:val="006063E4"/>
    <w:rsid w:val="00611582"/>
    <w:rsid w:val="00616479"/>
    <w:rsid w:val="00616F4E"/>
    <w:rsid w:val="006309B4"/>
    <w:rsid w:val="006352B6"/>
    <w:rsid w:val="006368EA"/>
    <w:rsid w:val="00637D1C"/>
    <w:rsid w:val="00642436"/>
    <w:rsid w:val="006453D2"/>
    <w:rsid w:val="0064771D"/>
    <w:rsid w:val="00657052"/>
    <w:rsid w:val="0066127B"/>
    <w:rsid w:val="00662DB2"/>
    <w:rsid w:val="00663BDB"/>
    <w:rsid w:val="006701DF"/>
    <w:rsid w:val="00676138"/>
    <w:rsid w:val="0067768A"/>
    <w:rsid w:val="006847D8"/>
    <w:rsid w:val="00686A00"/>
    <w:rsid w:val="00690C02"/>
    <w:rsid w:val="00696106"/>
    <w:rsid w:val="00696453"/>
    <w:rsid w:val="00696809"/>
    <w:rsid w:val="006B3FC6"/>
    <w:rsid w:val="006C1037"/>
    <w:rsid w:val="006C3138"/>
    <w:rsid w:val="006C5F86"/>
    <w:rsid w:val="006C7E5B"/>
    <w:rsid w:val="006E521D"/>
    <w:rsid w:val="006E631F"/>
    <w:rsid w:val="006E6323"/>
    <w:rsid w:val="006E642F"/>
    <w:rsid w:val="007007BC"/>
    <w:rsid w:val="00700C10"/>
    <w:rsid w:val="00717AA5"/>
    <w:rsid w:val="00725868"/>
    <w:rsid w:val="00725ABE"/>
    <w:rsid w:val="00730843"/>
    <w:rsid w:val="00730DD7"/>
    <w:rsid w:val="007414AE"/>
    <w:rsid w:val="0074541A"/>
    <w:rsid w:val="00746720"/>
    <w:rsid w:val="00754B66"/>
    <w:rsid w:val="007578D7"/>
    <w:rsid w:val="007655E6"/>
    <w:rsid w:val="00775F34"/>
    <w:rsid w:val="007761C2"/>
    <w:rsid w:val="00782F40"/>
    <w:rsid w:val="00784BC9"/>
    <w:rsid w:val="00786644"/>
    <w:rsid w:val="00786C77"/>
    <w:rsid w:val="00794A67"/>
    <w:rsid w:val="007B123A"/>
    <w:rsid w:val="007B6B89"/>
    <w:rsid w:val="007C24AF"/>
    <w:rsid w:val="007C7088"/>
    <w:rsid w:val="007E046F"/>
    <w:rsid w:val="007E2DDC"/>
    <w:rsid w:val="007F1E84"/>
    <w:rsid w:val="00800703"/>
    <w:rsid w:val="00801024"/>
    <w:rsid w:val="0080174B"/>
    <w:rsid w:val="00802C34"/>
    <w:rsid w:val="008056C2"/>
    <w:rsid w:val="00805CFD"/>
    <w:rsid w:val="00806555"/>
    <w:rsid w:val="0080711F"/>
    <w:rsid w:val="00817474"/>
    <w:rsid w:val="00820474"/>
    <w:rsid w:val="008278F9"/>
    <w:rsid w:val="008320BF"/>
    <w:rsid w:val="0083343D"/>
    <w:rsid w:val="008373FE"/>
    <w:rsid w:val="00841CAC"/>
    <w:rsid w:val="00846191"/>
    <w:rsid w:val="008471C6"/>
    <w:rsid w:val="008523F9"/>
    <w:rsid w:val="0085379C"/>
    <w:rsid w:val="008537BD"/>
    <w:rsid w:val="0085668B"/>
    <w:rsid w:val="00856B20"/>
    <w:rsid w:val="00862E2D"/>
    <w:rsid w:val="008746B8"/>
    <w:rsid w:val="00874767"/>
    <w:rsid w:val="0087651E"/>
    <w:rsid w:val="00876BD2"/>
    <w:rsid w:val="008806E5"/>
    <w:rsid w:val="00883F8B"/>
    <w:rsid w:val="00886281"/>
    <w:rsid w:val="00886865"/>
    <w:rsid w:val="008926E5"/>
    <w:rsid w:val="0089389F"/>
    <w:rsid w:val="008A0263"/>
    <w:rsid w:val="008A14B5"/>
    <w:rsid w:val="008A1A1B"/>
    <w:rsid w:val="008A5A95"/>
    <w:rsid w:val="008A5C1F"/>
    <w:rsid w:val="008A6BD6"/>
    <w:rsid w:val="008B1636"/>
    <w:rsid w:val="008B449F"/>
    <w:rsid w:val="008B627E"/>
    <w:rsid w:val="008B734D"/>
    <w:rsid w:val="008D3F85"/>
    <w:rsid w:val="008D7193"/>
    <w:rsid w:val="008E0393"/>
    <w:rsid w:val="008E2232"/>
    <w:rsid w:val="008E3333"/>
    <w:rsid w:val="008E4737"/>
    <w:rsid w:val="008E6D10"/>
    <w:rsid w:val="008F1AF3"/>
    <w:rsid w:val="008F2132"/>
    <w:rsid w:val="008F22EE"/>
    <w:rsid w:val="008F466C"/>
    <w:rsid w:val="00902EF4"/>
    <w:rsid w:val="00903A48"/>
    <w:rsid w:val="00905A5A"/>
    <w:rsid w:val="009241C5"/>
    <w:rsid w:val="00947952"/>
    <w:rsid w:val="00951441"/>
    <w:rsid w:val="00952031"/>
    <w:rsid w:val="0096671A"/>
    <w:rsid w:val="00975194"/>
    <w:rsid w:val="009816DF"/>
    <w:rsid w:val="009820B9"/>
    <w:rsid w:val="00995308"/>
    <w:rsid w:val="009968F9"/>
    <w:rsid w:val="0099731A"/>
    <w:rsid w:val="009A00CC"/>
    <w:rsid w:val="009A3775"/>
    <w:rsid w:val="009B52D1"/>
    <w:rsid w:val="009B5F65"/>
    <w:rsid w:val="009C3476"/>
    <w:rsid w:val="009C3A73"/>
    <w:rsid w:val="009D038A"/>
    <w:rsid w:val="009D293B"/>
    <w:rsid w:val="009D4777"/>
    <w:rsid w:val="009E0212"/>
    <w:rsid w:val="009E21BA"/>
    <w:rsid w:val="009E70E0"/>
    <w:rsid w:val="009F520A"/>
    <w:rsid w:val="00A16F34"/>
    <w:rsid w:val="00A237F5"/>
    <w:rsid w:val="00A25714"/>
    <w:rsid w:val="00A25D6C"/>
    <w:rsid w:val="00A27108"/>
    <w:rsid w:val="00A33C7E"/>
    <w:rsid w:val="00A525E4"/>
    <w:rsid w:val="00A539D8"/>
    <w:rsid w:val="00A564B5"/>
    <w:rsid w:val="00A5769F"/>
    <w:rsid w:val="00A61A3C"/>
    <w:rsid w:val="00A64520"/>
    <w:rsid w:val="00A650F7"/>
    <w:rsid w:val="00A80827"/>
    <w:rsid w:val="00A80A7B"/>
    <w:rsid w:val="00A815C1"/>
    <w:rsid w:val="00A835F9"/>
    <w:rsid w:val="00A835FC"/>
    <w:rsid w:val="00A8361F"/>
    <w:rsid w:val="00A905FC"/>
    <w:rsid w:val="00A93935"/>
    <w:rsid w:val="00AA269D"/>
    <w:rsid w:val="00AB3B82"/>
    <w:rsid w:val="00AB4322"/>
    <w:rsid w:val="00AB5E6C"/>
    <w:rsid w:val="00AC0F84"/>
    <w:rsid w:val="00AC11E8"/>
    <w:rsid w:val="00AC4E41"/>
    <w:rsid w:val="00AD480A"/>
    <w:rsid w:val="00AD5E52"/>
    <w:rsid w:val="00AD6BED"/>
    <w:rsid w:val="00AD71D4"/>
    <w:rsid w:val="00AE6188"/>
    <w:rsid w:val="00AF5CDD"/>
    <w:rsid w:val="00AF68D3"/>
    <w:rsid w:val="00B0151C"/>
    <w:rsid w:val="00B02448"/>
    <w:rsid w:val="00B04423"/>
    <w:rsid w:val="00B05378"/>
    <w:rsid w:val="00B06BD5"/>
    <w:rsid w:val="00B07B3E"/>
    <w:rsid w:val="00B15E32"/>
    <w:rsid w:val="00B2499E"/>
    <w:rsid w:val="00B27B6A"/>
    <w:rsid w:val="00B31421"/>
    <w:rsid w:val="00B314B2"/>
    <w:rsid w:val="00B32F88"/>
    <w:rsid w:val="00B37686"/>
    <w:rsid w:val="00B40776"/>
    <w:rsid w:val="00B42EEE"/>
    <w:rsid w:val="00B447E7"/>
    <w:rsid w:val="00B51A3D"/>
    <w:rsid w:val="00B527F2"/>
    <w:rsid w:val="00B53BB1"/>
    <w:rsid w:val="00B61F34"/>
    <w:rsid w:val="00B67076"/>
    <w:rsid w:val="00B75303"/>
    <w:rsid w:val="00B756A5"/>
    <w:rsid w:val="00B77C2E"/>
    <w:rsid w:val="00B8300F"/>
    <w:rsid w:val="00B85CF6"/>
    <w:rsid w:val="00B87959"/>
    <w:rsid w:val="00BA434C"/>
    <w:rsid w:val="00BB02C0"/>
    <w:rsid w:val="00BB102A"/>
    <w:rsid w:val="00BB57E3"/>
    <w:rsid w:val="00BB6904"/>
    <w:rsid w:val="00BB7C9D"/>
    <w:rsid w:val="00BC606F"/>
    <w:rsid w:val="00BD1235"/>
    <w:rsid w:val="00BD1C49"/>
    <w:rsid w:val="00BF0573"/>
    <w:rsid w:val="00BF0CB1"/>
    <w:rsid w:val="00BF3580"/>
    <w:rsid w:val="00BF793A"/>
    <w:rsid w:val="00C02314"/>
    <w:rsid w:val="00C05144"/>
    <w:rsid w:val="00C14A03"/>
    <w:rsid w:val="00C20FE1"/>
    <w:rsid w:val="00C215B4"/>
    <w:rsid w:val="00C40240"/>
    <w:rsid w:val="00C42D5E"/>
    <w:rsid w:val="00C46440"/>
    <w:rsid w:val="00C51A47"/>
    <w:rsid w:val="00C55F23"/>
    <w:rsid w:val="00C718BC"/>
    <w:rsid w:val="00C73CEE"/>
    <w:rsid w:val="00C74F9B"/>
    <w:rsid w:val="00C77EB9"/>
    <w:rsid w:val="00C80212"/>
    <w:rsid w:val="00C921B2"/>
    <w:rsid w:val="00C94677"/>
    <w:rsid w:val="00CA0386"/>
    <w:rsid w:val="00CA3826"/>
    <w:rsid w:val="00CB0157"/>
    <w:rsid w:val="00CB679C"/>
    <w:rsid w:val="00CC58B5"/>
    <w:rsid w:val="00CC6DE8"/>
    <w:rsid w:val="00CC7125"/>
    <w:rsid w:val="00CD37C5"/>
    <w:rsid w:val="00CD6951"/>
    <w:rsid w:val="00CE2E2B"/>
    <w:rsid w:val="00CE5483"/>
    <w:rsid w:val="00CF2D19"/>
    <w:rsid w:val="00CF6066"/>
    <w:rsid w:val="00CF7889"/>
    <w:rsid w:val="00D027AD"/>
    <w:rsid w:val="00D16615"/>
    <w:rsid w:val="00D16E2C"/>
    <w:rsid w:val="00D17E22"/>
    <w:rsid w:val="00D3049B"/>
    <w:rsid w:val="00D425FB"/>
    <w:rsid w:val="00D543BE"/>
    <w:rsid w:val="00D5694C"/>
    <w:rsid w:val="00D64B69"/>
    <w:rsid w:val="00D7273B"/>
    <w:rsid w:val="00D76FA5"/>
    <w:rsid w:val="00D828ED"/>
    <w:rsid w:val="00D85FDF"/>
    <w:rsid w:val="00D87432"/>
    <w:rsid w:val="00D92055"/>
    <w:rsid w:val="00D9686D"/>
    <w:rsid w:val="00DA3E59"/>
    <w:rsid w:val="00DA5296"/>
    <w:rsid w:val="00DB53F2"/>
    <w:rsid w:val="00DB55E8"/>
    <w:rsid w:val="00DB567A"/>
    <w:rsid w:val="00DB5BDF"/>
    <w:rsid w:val="00DB73CE"/>
    <w:rsid w:val="00DD0919"/>
    <w:rsid w:val="00DF1ADC"/>
    <w:rsid w:val="00DF513D"/>
    <w:rsid w:val="00E008AB"/>
    <w:rsid w:val="00E02353"/>
    <w:rsid w:val="00E038FB"/>
    <w:rsid w:val="00E05457"/>
    <w:rsid w:val="00E06769"/>
    <w:rsid w:val="00E1062E"/>
    <w:rsid w:val="00E10C2A"/>
    <w:rsid w:val="00E11CAC"/>
    <w:rsid w:val="00E12EC7"/>
    <w:rsid w:val="00E14E43"/>
    <w:rsid w:val="00E20A16"/>
    <w:rsid w:val="00E304A9"/>
    <w:rsid w:val="00E42373"/>
    <w:rsid w:val="00E44864"/>
    <w:rsid w:val="00E56AA9"/>
    <w:rsid w:val="00E572E4"/>
    <w:rsid w:val="00E7155A"/>
    <w:rsid w:val="00E71CEF"/>
    <w:rsid w:val="00E76715"/>
    <w:rsid w:val="00E76DC4"/>
    <w:rsid w:val="00E81E9C"/>
    <w:rsid w:val="00E965ED"/>
    <w:rsid w:val="00E96C52"/>
    <w:rsid w:val="00EA0FD4"/>
    <w:rsid w:val="00EA3218"/>
    <w:rsid w:val="00EA3E40"/>
    <w:rsid w:val="00EB71AD"/>
    <w:rsid w:val="00EC611D"/>
    <w:rsid w:val="00ED622D"/>
    <w:rsid w:val="00ED7389"/>
    <w:rsid w:val="00ED78DE"/>
    <w:rsid w:val="00ED7E79"/>
    <w:rsid w:val="00EE0ADE"/>
    <w:rsid w:val="00EE1EEE"/>
    <w:rsid w:val="00EE33F3"/>
    <w:rsid w:val="00EF00AE"/>
    <w:rsid w:val="00EF0FBB"/>
    <w:rsid w:val="00EF2DE3"/>
    <w:rsid w:val="00EF4F12"/>
    <w:rsid w:val="00EF74FB"/>
    <w:rsid w:val="00F03B71"/>
    <w:rsid w:val="00F076D4"/>
    <w:rsid w:val="00F07A06"/>
    <w:rsid w:val="00F12398"/>
    <w:rsid w:val="00F12D66"/>
    <w:rsid w:val="00F2177E"/>
    <w:rsid w:val="00F238B9"/>
    <w:rsid w:val="00F40794"/>
    <w:rsid w:val="00F41AC5"/>
    <w:rsid w:val="00F44234"/>
    <w:rsid w:val="00F4559C"/>
    <w:rsid w:val="00F51CE9"/>
    <w:rsid w:val="00F521FF"/>
    <w:rsid w:val="00F56B7F"/>
    <w:rsid w:val="00F62AEA"/>
    <w:rsid w:val="00F64D6B"/>
    <w:rsid w:val="00F65AC6"/>
    <w:rsid w:val="00F71D66"/>
    <w:rsid w:val="00F72F10"/>
    <w:rsid w:val="00F776A1"/>
    <w:rsid w:val="00F83306"/>
    <w:rsid w:val="00FA2ADF"/>
    <w:rsid w:val="00FB16DB"/>
    <w:rsid w:val="00FB3C28"/>
    <w:rsid w:val="00FB4F36"/>
    <w:rsid w:val="00FB6EDE"/>
    <w:rsid w:val="00FB7623"/>
    <w:rsid w:val="00FE1164"/>
    <w:rsid w:val="00FE4894"/>
    <w:rsid w:val="00FE5702"/>
    <w:rsid w:val="00FF0C6C"/>
    <w:rsid w:val="00FF0FB0"/>
    <w:rsid w:val="00FF5661"/>
    <w:rsid w:val="019CEBCE"/>
    <w:rsid w:val="029AC8F9"/>
    <w:rsid w:val="0BFEE22B"/>
    <w:rsid w:val="12C66733"/>
    <w:rsid w:val="15DB1EC6"/>
    <w:rsid w:val="1719EDD7"/>
    <w:rsid w:val="1BF7D3EC"/>
    <w:rsid w:val="218FAA5C"/>
    <w:rsid w:val="22DC078B"/>
    <w:rsid w:val="2A31E2DE"/>
    <w:rsid w:val="2C473A46"/>
    <w:rsid w:val="31B55F55"/>
    <w:rsid w:val="37B14FFA"/>
    <w:rsid w:val="3AB0EDA9"/>
    <w:rsid w:val="4292CEB1"/>
    <w:rsid w:val="458B73CF"/>
    <w:rsid w:val="46596AA1"/>
    <w:rsid w:val="4D0ACAEE"/>
    <w:rsid w:val="51B9AB93"/>
    <w:rsid w:val="56A09510"/>
    <w:rsid w:val="5B448ED9"/>
    <w:rsid w:val="5B7DD5B0"/>
    <w:rsid w:val="5DF2680A"/>
    <w:rsid w:val="67FE95D3"/>
    <w:rsid w:val="683ECC28"/>
    <w:rsid w:val="68A776EE"/>
    <w:rsid w:val="6A38B56E"/>
    <w:rsid w:val="6CDF1200"/>
    <w:rsid w:val="6E0B2286"/>
    <w:rsid w:val="7E9AE3ED"/>
    <w:rsid w:val="7F675B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61481"/>
  <w15:chartTrackingRefBased/>
  <w15:docId w15:val="{7BCA728B-3106-4480-9F9B-4963F1B3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302AF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Nagwek2">
    <w:name w:val="heading 2"/>
    <w:basedOn w:val="Normalny"/>
    <w:next w:val="Normalny"/>
    <w:link w:val="Nagwek2Znak"/>
    <w:uiPriority w:val="9"/>
    <w:semiHidden/>
    <w:unhideWhenUsed/>
    <w:qFormat/>
    <w:rsid w:val="00E965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14862"/>
    <w:rPr>
      <w:color w:val="0563C1" w:themeColor="hyperlink"/>
      <w:u w:val="single"/>
    </w:rPr>
  </w:style>
  <w:style w:type="character" w:styleId="UyteHipercze">
    <w:name w:val="FollowedHyperlink"/>
    <w:basedOn w:val="Domylnaczcionkaakapitu"/>
    <w:uiPriority w:val="99"/>
    <w:semiHidden/>
    <w:unhideWhenUsed/>
    <w:rsid w:val="00372EA8"/>
    <w:rPr>
      <w:color w:val="954F72" w:themeColor="followedHyperlink"/>
      <w:u w:val="single"/>
    </w:rPr>
  </w:style>
  <w:style w:type="paragraph" w:styleId="Nagwek">
    <w:name w:val="header"/>
    <w:basedOn w:val="Normalny"/>
    <w:link w:val="NagwekZnak"/>
    <w:uiPriority w:val="99"/>
    <w:unhideWhenUsed/>
    <w:rsid w:val="000E05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05AF"/>
  </w:style>
  <w:style w:type="paragraph" w:styleId="Stopka">
    <w:name w:val="footer"/>
    <w:basedOn w:val="Normalny"/>
    <w:link w:val="StopkaZnak"/>
    <w:uiPriority w:val="99"/>
    <w:unhideWhenUsed/>
    <w:rsid w:val="000E05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05AF"/>
  </w:style>
  <w:style w:type="paragraph" w:styleId="Bezodstpw">
    <w:name w:val="No Spacing"/>
    <w:uiPriority w:val="1"/>
    <w:qFormat/>
    <w:rsid w:val="000E05AF"/>
    <w:pPr>
      <w:spacing w:after="0" w:line="240" w:lineRule="auto"/>
    </w:pPr>
    <w:rPr>
      <w:kern w:val="2"/>
      <w14:ligatures w14:val="standardContextual"/>
    </w:rPr>
  </w:style>
  <w:style w:type="paragraph" w:styleId="Akapitzlist">
    <w:name w:val="List Paragraph"/>
    <w:aliases w:val="Bullet List Paragraph,List Paragraph1,Dot pt,F5 List Paragraph,No Spacing1,List Paragraph Char Char Char,Indicator Text,Colorful List - Accent 11,Numbered Para 1,Bullet 1,Bullet Points,List Paragraph2,MAIN CONTENT,Normal numbered,3"/>
    <w:basedOn w:val="Normalny"/>
    <w:link w:val="AkapitzlistZnak"/>
    <w:uiPriority w:val="34"/>
    <w:qFormat/>
    <w:rsid w:val="008471C6"/>
    <w:pPr>
      <w:ind w:left="720"/>
      <w:contextualSpacing/>
    </w:pPr>
  </w:style>
  <w:style w:type="paragraph" w:styleId="Tekstpodstawowywcity">
    <w:name w:val="Body Text Indent"/>
    <w:basedOn w:val="Normalny"/>
    <w:link w:val="TekstpodstawowywcityZnak"/>
    <w:uiPriority w:val="99"/>
    <w:unhideWhenUsed/>
    <w:rsid w:val="000F49FC"/>
    <w:pPr>
      <w:spacing w:after="120"/>
      <w:ind w:left="283"/>
    </w:pPr>
  </w:style>
  <w:style w:type="character" w:customStyle="1" w:styleId="TekstpodstawowywcityZnak">
    <w:name w:val="Tekst podstawowy wcięty Znak"/>
    <w:basedOn w:val="Domylnaczcionkaakapitu"/>
    <w:link w:val="Tekstpodstawowywcity"/>
    <w:uiPriority w:val="99"/>
    <w:rsid w:val="000F49FC"/>
  </w:style>
  <w:style w:type="paragraph" w:styleId="Tekstdymka">
    <w:name w:val="Balloon Text"/>
    <w:basedOn w:val="Normalny"/>
    <w:link w:val="TekstdymkaZnak"/>
    <w:uiPriority w:val="99"/>
    <w:semiHidden/>
    <w:unhideWhenUsed/>
    <w:rsid w:val="005068D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68D2"/>
    <w:rPr>
      <w:rFonts w:ascii="Segoe UI" w:hAnsi="Segoe UI" w:cs="Segoe UI"/>
      <w:sz w:val="18"/>
      <w:szCs w:val="18"/>
    </w:rPr>
  </w:style>
  <w:style w:type="paragraph" w:styleId="NormalnyWeb">
    <w:name w:val="Normal (Web)"/>
    <w:basedOn w:val="Normalny"/>
    <w:uiPriority w:val="99"/>
    <w:unhideWhenUsed/>
    <w:rsid w:val="00BB57E3"/>
    <w:pPr>
      <w:spacing w:after="0" w:line="240" w:lineRule="auto"/>
    </w:pPr>
    <w:rPr>
      <w:rFonts w:ascii="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B27B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27B6A"/>
    <w:rPr>
      <w:sz w:val="20"/>
      <w:szCs w:val="20"/>
    </w:rPr>
  </w:style>
  <w:style w:type="character" w:styleId="Odwoanieprzypisudolnego">
    <w:name w:val="footnote reference"/>
    <w:basedOn w:val="Domylnaczcionkaakapitu"/>
    <w:uiPriority w:val="99"/>
    <w:semiHidden/>
    <w:unhideWhenUsed/>
    <w:rsid w:val="00B27B6A"/>
    <w:rPr>
      <w:vertAlign w:val="superscript"/>
    </w:rPr>
  </w:style>
  <w:style w:type="character" w:styleId="Odwoaniedokomentarza">
    <w:name w:val="annotation reference"/>
    <w:basedOn w:val="Domylnaczcionkaakapitu"/>
    <w:uiPriority w:val="99"/>
    <w:semiHidden/>
    <w:unhideWhenUsed/>
    <w:rsid w:val="00A25D6C"/>
    <w:rPr>
      <w:sz w:val="16"/>
      <w:szCs w:val="16"/>
    </w:rPr>
  </w:style>
  <w:style w:type="paragraph" w:styleId="Tekstkomentarza">
    <w:name w:val="annotation text"/>
    <w:basedOn w:val="Normalny"/>
    <w:link w:val="TekstkomentarzaZnak"/>
    <w:uiPriority w:val="99"/>
    <w:unhideWhenUsed/>
    <w:rsid w:val="00A25D6C"/>
    <w:pPr>
      <w:spacing w:line="240" w:lineRule="auto"/>
    </w:pPr>
    <w:rPr>
      <w:sz w:val="20"/>
      <w:szCs w:val="20"/>
    </w:rPr>
  </w:style>
  <w:style w:type="character" w:customStyle="1" w:styleId="TekstkomentarzaZnak">
    <w:name w:val="Tekst komentarza Znak"/>
    <w:basedOn w:val="Domylnaczcionkaakapitu"/>
    <w:link w:val="Tekstkomentarza"/>
    <w:uiPriority w:val="99"/>
    <w:rsid w:val="00A25D6C"/>
    <w:rPr>
      <w:sz w:val="20"/>
      <w:szCs w:val="20"/>
    </w:rPr>
  </w:style>
  <w:style w:type="paragraph" w:styleId="Tematkomentarza">
    <w:name w:val="annotation subject"/>
    <w:basedOn w:val="Tekstkomentarza"/>
    <w:next w:val="Tekstkomentarza"/>
    <w:link w:val="TematkomentarzaZnak"/>
    <w:uiPriority w:val="99"/>
    <w:semiHidden/>
    <w:unhideWhenUsed/>
    <w:rsid w:val="00A25D6C"/>
    <w:rPr>
      <w:b/>
      <w:bCs/>
    </w:rPr>
  </w:style>
  <w:style w:type="character" w:customStyle="1" w:styleId="TematkomentarzaZnak">
    <w:name w:val="Temat komentarza Znak"/>
    <w:basedOn w:val="TekstkomentarzaZnak"/>
    <w:link w:val="Tematkomentarza"/>
    <w:uiPriority w:val="99"/>
    <w:semiHidden/>
    <w:rsid w:val="00A25D6C"/>
    <w:rPr>
      <w:b/>
      <w:bCs/>
      <w:sz w:val="20"/>
      <w:szCs w:val="20"/>
    </w:rPr>
  </w:style>
  <w:style w:type="character" w:customStyle="1" w:styleId="AkapitzlistZnak">
    <w:name w:val="Akapit z listą Znak"/>
    <w:aliases w:val="Bullet List Paragraph Znak,List Paragraph1 Znak,Dot pt Znak,F5 List Paragraph Znak,No Spacing1 Znak,List Paragraph Char Char Char Znak,Indicator Text Znak,Colorful List - Accent 11 Znak,Numbered Para 1 Znak,Bullet 1 Znak,3 Znak"/>
    <w:basedOn w:val="Domylnaczcionkaakapitu"/>
    <w:link w:val="Akapitzlist"/>
    <w:uiPriority w:val="34"/>
    <w:locked/>
    <w:rsid w:val="00F2177E"/>
  </w:style>
  <w:style w:type="character" w:customStyle="1" w:styleId="white-space-pre">
    <w:name w:val="white-space-pre"/>
    <w:basedOn w:val="Domylnaczcionkaakapitu"/>
    <w:rsid w:val="00786C77"/>
  </w:style>
  <w:style w:type="character" w:styleId="Pogrubienie">
    <w:name w:val="Strong"/>
    <w:basedOn w:val="Domylnaczcionkaakapitu"/>
    <w:uiPriority w:val="22"/>
    <w:qFormat/>
    <w:rsid w:val="007F1E84"/>
    <w:rPr>
      <w:b/>
      <w:bCs/>
    </w:rPr>
  </w:style>
  <w:style w:type="character" w:customStyle="1" w:styleId="html-span">
    <w:name w:val="html-span"/>
    <w:basedOn w:val="Domylnaczcionkaakapitu"/>
    <w:rsid w:val="00130CFF"/>
  </w:style>
  <w:style w:type="paragraph" w:styleId="Tekstprzypisukocowego">
    <w:name w:val="endnote text"/>
    <w:basedOn w:val="Normalny"/>
    <w:link w:val="TekstprzypisukocowegoZnak"/>
    <w:uiPriority w:val="99"/>
    <w:semiHidden/>
    <w:unhideWhenUsed/>
    <w:rsid w:val="00C215B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215B4"/>
    <w:rPr>
      <w:sz w:val="20"/>
      <w:szCs w:val="20"/>
    </w:rPr>
  </w:style>
  <w:style w:type="character" w:styleId="Odwoanieprzypisukocowego">
    <w:name w:val="endnote reference"/>
    <w:basedOn w:val="Domylnaczcionkaakapitu"/>
    <w:uiPriority w:val="99"/>
    <w:semiHidden/>
    <w:unhideWhenUsed/>
    <w:rsid w:val="00C215B4"/>
    <w:rPr>
      <w:vertAlign w:val="superscript"/>
    </w:rPr>
  </w:style>
  <w:style w:type="character" w:customStyle="1" w:styleId="Nagwek1Znak">
    <w:name w:val="Nagłówek 1 Znak"/>
    <w:basedOn w:val="Domylnaczcionkaakapitu"/>
    <w:link w:val="Nagwek1"/>
    <w:uiPriority w:val="9"/>
    <w:rsid w:val="00302AF6"/>
    <w:rPr>
      <w:rFonts w:ascii="Times New Roman" w:eastAsia="Times New Roman" w:hAnsi="Times New Roman" w:cs="Times New Roman"/>
      <w:b/>
      <w:bCs/>
      <w:kern w:val="36"/>
      <w:sz w:val="48"/>
      <w:szCs w:val="48"/>
      <w:lang w:val="en-US"/>
    </w:rPr>
  </w:style>
  <w:style w:type="paragraph" w:styleId="Poprawka">
    <w:name w:val="Revision"/>
    <w:hidden/>
    <w:uiPriority w:val="99"/>
    <w:semiHidden/>
    <w:rsid w:val="005E0E64"/>
    <w:pPr>
      <w:spacing w:after="0" w:line="240" w:lineRule="auto"/>
    </w:pPr>
  </w:style>
  <w:style w:type="table" w:styleId="Tabela-Siatka">
    <w:name w:val="Table Grid"/>
    <w:basedOn w:val="Standardowy"/>
    <w:uiPriority w:val="39"/>
    <w:rsid w:val="00846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E965ED"/>
    <w:rPr>
      <w:rFonts w:asciiTheme="majorHAnsi" w:eastAsiaTheme="majorEastAsia" w:hAnsiTheme="majorHAnsi" w:cstheme="majorBidi"/>
      <w:color w:val="2E74B5" w:themeColor="accent1" w:themeShade="BF"/>
      <w:sz w:val="26"/>
      <w:szCs w:val="26"/>
    </w:rPr>
  </w:style>
  <w:style w:type="paragraph" w:customStyle="1" w:styleId="isselectedend">
    <w:name w:val="isselectedend"/>
    <w:basedOn w:val="Normalny"/>
    <w:rsid w:val="00ED7E7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BB02C0"/>
    <w:rPr>
      <w:color w:val="605E5C"/>
      <w:shd w:val="clear" w:color="auto" w:fill="E1DFDD"/>
    </w:rPr>
  </w:style>
  <w:style w:type="character" w:styleId="Nierozpoznanawzmianka">
    <w:name w:val="Unresolved Mention"/>
    <w:basedOn w:val="Domylnaczcionkaakapitu"/>
    <w:uiPriority w:val="99"/>
    <w:semiHidden/>
    <w:unhideWhenUsed/>
    <w:rsid w:val="00801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03208">
      <w:bodyDiv w:val="1"/>
      <w:marLeft w:val="0"/>
      <w:marRight w:val="0"/>
      <w:marTop w:val="0"/>
      <w:marBottom w:val="0"/>
      <w:divBdr>
        <w:top w:val="none" w:sz="0" w:space="0" w:color="auto"/>
        <w:left w:val="none" w:sz="0" w:space="0" w:color="auto"/>
        <w:bottom w:val="none" w:sz="0" w:space="0" w:color="auto"/>
        <w:right w:val="none" w:sz="0" w:space="0" w:color="auto"/>
      </w:divBdr>
    </w:div>
    <w:div w:id="467867610">
      <w:bodyDiv w:val="1"/>
      <w:marLeft w:val="0"/>
      <w:marRight w:val="0"/>
      <w:marTop w:val="0"/>
      <w:marBottom w:val="0"/>
      <w:divBdr>
        <w:top w:val="none" w:sz="0" w:space="0" w:color="auto"/>
        <w:left w:val="none" w:sz="0" w:space="0" w:color="auto"/>
        <w:bottom w:val="none" w:sz="0" w:space="0" w:color="auto"/>
        <w:right w:val="none" w:sz="0" w:space="0" w:color="auto"/>
      </w:divBdr>
    </w:div>
    <w:div w:id="527915845">
      <w:bodyDiv w:val="1"/>
      <w:marLeft w:val="0"/>
      <w:marRight w:val="0"/>
      <w:marTop w:val="0"/>
      <w:marBottom w:val="0"/>
      <w:divBdr>
        <w:top w:val="none" w:sz="0" w:space="0" w:color="auto"/>
        <w:left w:val="none" w:sz="0" w:space="0" w:color="auto"/>
        <w:bottom w:val="none" w:sz="0" w:space="0" w:color="auto"/>
        <w:right w:val="none" w:sz="0" w:space="0" w:color="auto"/>
      </w:divBdr>
    </w:div>
    <w:div w:id="590427923">
      <w:bodyDiv w:val="1"/>
      <w:marLeft w:val="0"/>
      <w:marRight w:val="0"/>
      <w:marTop w:val="0"/>
      <w:marBottom w:val="0"/>
      <w:divBdr>
        <w:top w:val="none" w:sz="0" w:space="0" w:color="auto"/>
        <w:left w:val="none" w:sz="0" w:space="0" w:color="auto"/>
        <w:bottom w:val="none" w:sz="0" w:space="0" w:color="auto"/>
        <w:right w:val="none" w:sz="0" w:space="0" w:color="auto"/>
      </w:divBdr>
    </w:div>
    <w:div w:id="696583630">
      <w:bodyDiv w:val="1"/>
      <w:marLeft w:val="0"/>
      <w:marRight w:val="0"/>
      <w:marTop w:val="0"/>
      <w:marBottom w:val="0"/>
      <w:divBdr>
        <w:top w:val="none" w:sz="0" w:space="0" w:color="auto"/>
        <w:left w:val="none" w:sz="0" w:space="0" w:color="auto"/>
        <w:bottom w:val="none" w:sz="0" w:space="0" w:color="auto"/>
        <w:right w:val="none" w:sz="0" w:space="0" w:color="auto"/>
      </w:divBdr>
    </w:div>
    <w:div w:id="699354884">
      <w:bodyDiv w:val="1"/>
      <w:marLeft w:val="0"/>
      <w:marRight w:val="0"/>
      <w:marTop w:val="0"/>
      <w:marBottom w:val="0"/>
      <w:divBdr>
        <w:top w:val="none" w:sz="0" w:space="0" w:color="auto"/>
        <w:left w:val="none" w:sz="0" w:space="0" w:color="auto"/>
        <w:bottom w:val="none" w:sz="0" w:space="0" w:color="auto"/>
        <w:right w:val="none" w:sz="0" w:space="0" w:color="auto"/>
      </w:divBdr>
    </w:div>
    <w:div w:id="714430133">
      <w:bodyDiv w:val="1"/>
      <w:marLeft w:val="0"/>
      <w:marRight w:val="0"/>
      <w:marTop w:val="0"/>
      <w:marBottom w:val="0"/>
      <w:divBdr>
        <w:top w:val="none" w:sz="0" w:space="0" w:color="auto"/>
        <w:left w:val="none" w:sz="0" w:space="0" w:color="auto"/>
        <w:bottom w:val="none" w:sz="0" w:space="0" w:color="auto"/>
        <w:right w:val="none" w:sz="0" w:space="0" w:color="auto"/>
      </w:divBdr>
    </w:div>
    <w:div w:id="727340145">
      <w:bodyDiv w:val="1"/>
      <w:marLeft w:val="0"/>
      <w:marRight w:val="0"/>
      <w:marTop w:val="0"/>
      <w:marBottom w:val="0"/>
      <w:divBdr>
        <w:top w:val="none" w:sz="0" w:space="0" w:color="auto"/>
        <w:left w:val="none" w:sz="0" w:space="0" w:color="auto"/>
        <w:bottom w:val="none" w:sz="0" w:space="0" w:color="auto"/>
        <w:right w:val="none" w:sz="0" w:space="0" w:color="auto"/>
      </w:divBdr>
    </w:div>
    <w:div w:id="964703156">
      <w:bodyDiv w:val="1"/>
      <w:marLeft w:val="0"/>
      <w:marRight w:val="0"/>
      <w:marTop w:val="0"/>
      <w:marBottom w:val="0"/>
      <w:divBdr>
        <w:top w:val="none" w:sz="0" w:space="0" w:color="auto"/>
        <w:left w:val="none" w:sz="0" w:space="0" w:color="auto"/>
        <w:bottom w:val="none" w:sz="0" w:space="0" w:color="auto"/>
        <w:right w:val="none" w:sz="0" w:space="0" w:color="auto"/>
      </w:divBdr>
      <w:divsChild>
        <w:div w:id="416369502">
          <w:marLeft w:val="0"/>
          <w:marRight w:val="0"/>
          <w:marTop w:val="0"/>
          <w:marBottom w:val="0"/>
          <w:divBdr>
            <w:top w:val="none" w:sz="0" w:space="0" w:color="auto"/>
            <w:left w:val="none" w:sz="0" w:space="0" w:color="auto"/>
            <w:bottom w:val="none" w:sz="0" w:space="0" w:color="auto"/>
            <w:right w:val="none" w:sz="0" w:space="0" w:color="auto"/>
          </w:divBdr>
        </w:div>
        <w:div w:id="309291327">
          <w:marLeft w:val="0"/>
          <w:marRight w:val="0"/>
          <w:marTop w:val="120"/>
          <w:marBottom w:val="0"/>
          <w:divBdr>
            <w:top w:val="none" w:sz="0" w:space="0" w:color="auto"/>
            <w:left w:val="none" w:sz="0" w:space="0" w:color="auto"/>
            <w:bottom w:val="none" w:sz="0" w:space="0" w:color="auto"/>
            <w:right w:val="none" w:sz="0" w:space="0" w:color="auto"/>
          </w:divBdr>
          <w:divsChild>
            <w:div w:id="1723020292">
              <w:marLeft w:val="0"/>
              <w:marRight w:val="0"/>
              <w:marTop w:val="0"/>
              <w:marBottom w:val="0"/>
              <w:divBdr>
                <w:top w:val="none" w:sz="0" w:space="0" w:color="auto"/>
                <w:left w:val="none" w:sz="0" w:space="0" w:color="auto"/>
                <w:bottom w:val="none" w:sz="0" w:space="0" w:color="auto"/>
                <w:right w:val="none" w:sz="0" w:space="0" w:color="auto"/>
              </w:divBdr>
            </w:div>
          </w:divsChild>
        </w:div>
        <w:div w:id="1410226236">
          <w:marLeft w:val="0"/>
          <w:marRight w:val="0"/>
          <w:marTop w:val="120"/>
          <w:marBottom w:val="0"/>
          <w:divBdr>
            <w:top w:val="none" w:sz="0" w:space="0" w:color="auto"/>
            <w:left w:val="none" w:sz="0" w:space="0" w:color="auto"/>
            <w:bottom w:val="none" w:sz="0" w:space="0" w:color="auto"/>
            <w:right w:val="none" w:sz="0" w:space="0" w:color="auto"/>
          </w:divBdr>
          <w:divsChild>
            <w:div w:id="924386388">
              <w:marLeft w:val="0"/>
              <w:marRight w:val="0"/>
              <w:marTop w:val="0"/>
              <w:marBottom w:val="0"/>
              <w:divBdr>
                <w:top w:val="none" w:sz="0" w:space="0" w:color="auto"/>
                <w:left w:val="none" w:sz="0" w:space="0" w:color="auto"/>
                <w:bottom w:val="none" w:sz="0" w:space="0" w:color="auto"/>
                <w:right w:val="none" w:sz="0" w:space="0" w:color="auto"/>
              </w:divBdr>
            </w:div>
            <w:div w:id="128280820">
              <w:marLeft w:val="0"/>
              <w:marRight w:val="0"/>
              <w:marTop w:val="0"/>
              <w:marBottom w:val="0"/>
              <w:divBdr>
                <w:top w:val="none" w:sz="0" w:space="0" w:color="auto"/>
                <w:left w:val="none" w:sz="0" w:space="0" w:color="auto"/>
                <w:bottom w:val="none" w:sz="0" w:space="0" w:color="auto"/>
                <w:right w:val="none" w:sz="0" w:space="0" w:color="auto"/>
              </w:divBdr>
            </w:div>
            <w:div w:id="249657932">
              <w:marLeft w:val="0"/>
              <w:marRight w:val="0"/>
              <w:marTop w:val="0"/>
              <w:marBottom w:val="0"/>
              <w:divBdr>
                <w:top w:val="none" w:sz="0" w:space="0" w:color="auto"/>
                <w:left w:val="none" w:sz="0" w:space="0" w:color="auto"/>
                <w:bottom w:val="none" w:sz="0" w:space="0" w:color="auto"/>
                <w:right w:val="none" w:sz="0" w:space="0" w:color="auto"/>
              </w:divBdr>
            </w:div>
            <w:div w:id="1367870583">
              <w:marLeft w:val="0"/>
              <w:marRight w:val="0"/>
              <w:marTop w:val="0"/>
              <w:marBottom w:val="0"/>
              <w:divBdr>
                <w:top w:val="none" w:sz="0" w:space="0" w:color="auto"/>
                <w:left w:val="none" w:sz="0" w:space="0" w:color="auto"/>
                <w:bottom w:val="none" w:sz="0" w:space="0" w:color="auto"/>
                <w:right w:val="none" w:sz="0" w:space="0" w:color="auto"/>
              </w:divBdr>
            </w:div>
            <w:div w:id="1289972260">
              <w:marLeft w:val="0"/>
              <w:marRight w:val="0"/>
              <w:marTop w:val="0"/>
              <w:marBottom w:val="0"/>
              <w:divBdr>
                <w:top w:val="none" w:sz="0" w:space="0" w:color="auto"/>
                <w:left w:val="none" w:sz="0" w:space="0" w:color="auto"/>
                <w:bottom w:val="none" w:sz="0" w:space="0" w:color="auto"/>
                <w:right w:val="none" w:sz="0" w:space="0" w:color="auto"/>
              </w:divBdr>
            </w:div>
            <w:div w:id="428817865">
              <w:marLeft w:val="0"/>
              <w:marRight w:val="0"/>
              <w:marTop w:val="0"/>
              <w:marBottom w:val="0"/>
              <w:divBdr>
                <w:top w:val="none" w:sz="0" w:space="0" w:color="auto"/>
                <w:left w:val="none" w:sz="0" w:space="0" w:color="auto"/>
                <w:bottom w:val="none" w:sz="0" w:space="0" w:color="auto"/>
                <w:right w:val="none" w:sz="0" w:space="0" w:color="auto"/>
              </w:divBdr>
            </w:div>
            <w:div w:id="1686444967">
              <w:marLeft w:val="0"/>
              <w:marRight w:val="0"/>
              <w:marTop w:val="0"/>
              <w:marBottom w:val="0"/>
              <w:divBdr>
                <w:top w:val="none" w:sz="0" w:space="0" w:color="auto"/>
                <w:left w:val="none" w:sz="0" w:space="0" w:color="auto"/>
                <w:bottom w:val="none" w:sz="0" w:space="0" w:color="auto"/>
                <w:right w:val="none" w:sz="0" w:space="0" w:color="auto"/>
              </w:divBdr>
            </w:div>
            <w:div w:id="1628050437">
              <w:marLeft w:val="0"/>
              <w:marRight w:val="0"/>
              <w:marTop w:val="0"/>
              <w:marBottom w:val="0"/>
              <w:divBdr>
                <w:top w:val="none" w:sz="0" w:space="0" w:color="auto"/>
                <w:left w:val="none" w:sz="0" w:space="0" w:color="auto"/>
                <w:bottom w:val="none" w:sz="0" w:space="0" w:color="auto"/>
                <w:right w:val="none" w:sz="0" w:space="0" w:color="auto"/>
              </w:divBdr>
            </w:div>
            <w:div w:id="465396792">
              <w:marLeft w:val="0"/>
              <w:marRight w:val="0"/>
              <w:marTop w:val="0"/>
              <w:marBottom w:val="0"/>
              <w:divBdr>
                <w:top w:val="none" w:sz="0" w:space="0" w:color="auto"/>
                <w:left w:val="none" w:sz="0" w:space="0" w:color="auto"/>
                <w:bottom w:val="none" w:sz="0" w:space="0" w:color="auto"/>
                <w:right w:val="none" w:sz="0" w:space="0" w:color="auto"/>
              </w:divBdr>
            </w:div>
            <w:div w:id="1387945616">
              <w:marLeft w:val="0"/>
              <w:marRight w:val="0"/>
              <w:marTop w:val="0"/>
              <w:marBottom w:val="0"/>
              <w:divBdr>
                <w:top w:val="none" w:sz="0" w:space="0" w:color="auto"/>
                <w:left w:val="none" w:sz="0" w:space="0" w:color="auto"/>
                <w:bottom w:val="none" w:sz="0" w:space="0" w:color="auto"/>
                <w:right w:val="none" w:sz="0" w:space="0" w:color="auto"/>
              </w:divBdr>
            </w:div>
          </w:divsChild>
        </w:div>
        <w:div w:id="21102665">
          <w:marLeft w:val="0"/>
          <w:marRight w:val="0"/>
          <w:marTop w:val="120"/>
          <w:marBottom w:val="0"/>
          <w:divBdr>
            <w:top w:val="none" w:sz="0" w:space="0" w:color="auto"/>
            <w:left w:val="none" w:sz="0" w:space="0" w:color="auto"/>
            <w:bottom w:val="none" w:sz="0" w:space="0" w:color="auto"/>
            <w:right w:val="none" w:sz="0" w:space="0" w:color="auto"/>
          </w:divBdr>
          <w:divsChild>
            <w:div w:id="605844511">
              <w:marLeft w:val="0"/>
              <w:marRight w:val="0"/>
              <w:marTop w:val="0"/>
              <w:marBottom w:val="0"/>
              <w:divBdr>
                <w:top w:val="none" w:sz="0" w:space="0" w:color="auto"/>
                <w:left w:val="none" w:sz="0" w:space="0" w:color="auto"/>
                <w:bottom w:val="none" w:sz="0" w:space="0" w:color="auto"/>
                <w:right w:val="none" w:sz="0" w:space="0" w:color="auto"/>
              </w:divBdr>
            </w:div>
          </w:divsChild>
        </w:div>
        <w:div w:id="1150050617">
          <w:marLeft w:val="0"/>
          <w:marRight w:val="0"/>
          <w:marTop w:val="120"/>
          <w:marBottom w:val="0"/>
          <w:divBdr>
            <w:top w:val="none" w:sz="0" w:space="0" w:color="auto"/>
            <w:left w:val="none" w:sz="0" w:space="0" w:color="auto"/>
            <w:bottom w:val="none" w:sz="0" w:space="0" w:color="auto"/>
            <w:right w:val="none" w:sz="0" w:space="0" w:color="auto"/>
          </w:divBdr>
          <w:divsChild>
            <w:div w:id="182476775">
              <w:marLeft w:val="0"/>
              <w:marRight w:val="0"/>
              <w:marTop w:val="0"/>
              <w:marBottom w:val="0"/>
              <w:divBdr>
                <w:top w:val="none" w:sz="0" w:space="0" w:color="auto"/>
                <w:left w:val="none" w:sz="0" w:space="0" w:color="auto"/>
                <w:bottom w:val="none" w:sz="0" w:space="0" w:color="auto"/>
                <w:right w:val="none" w:sz="0" w:space="0" w:color="auto"/>
              </w:divBdr>
            </w:div>
          </w:divsChild>
        </w:div>
        <w:div w:id="161049616">
          <w:marLeft w:val="0"/>
          <w:marRight w:val="0"/>
          <w:marTop w:val="120"/>
          <w:marBottom w:val="0"/>
          <w:divBdr>
            <w:top w:val="none" w:sz="0" w:space="0" w:color="auto"/>
            <w:left w:val="none" w:sz="0" w:space="0" w:color="auto"/>
            <w:bottom w:val="none" w:sz="0" w:space="0" w:color="auto"/>
            <w:right w:val="none" w:sz="0" w:space="0" w:color="auto"/>
          </w:divBdr>
          <w:divsChild>
            <w:div w:id="183594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21194">
      <w:bodyDiv w:val="1"/>
      <w:marLeft w:val="0"/>
      <w:marRight w:val="0"/>
      <w:marTop w:val="0"/>
      <w:marBottom w:val="0"/>
      <w:divBdr>
        <w:top w:val="none" w:sz="0" w:space="0" w:color="auto"/>
        <w:left w:val="none" w:sz="0" w:space="0" w:color="auto"/>
        <w:bottom w:val="none" w:sz="0" w:space="0" w:color="auto"/>
        <w:right w:val="none" w:sz="0" w:space="0" w:color="auto"/>
      </w:divBdr>
    </w:div>
    <w:div w:id="1176772050">
      <w:bodyDiv w:val="1"/>
      <w:marLeft w:val="0"/>
      <w:marRight w:val="0"/>
      <w:marTop w:val="0"/>
      <w:marBottom w:val="0"/>
      <w:divBdr>
        <w:top w:val="none" w:sz="0" w:space="0" w:color="auto"/>
        <w:left w:val="none" w:sz="0" w:space="0" w:color="auto"/>
        <w:bottom w:val="none" w:sz="0" w:space="0" w:color="auto"/>
        <w:right w:val="none" w:sz="0" w:space="0" w:color="auto"/>
      </w:divBdr>
    </w:div>
    <w:div w:id="1186867379">
      <w:bodyDiv w:val="1"/>
      <w:marLeft w:val="0"/>
      <w:marRight w:val="0"/>
      <w:marTop w:val="0"/>
      <w:marBottom w:val="0"/>
      <w:divBdr>
        <w:top w:val="none" w:sz="0" w:space="0" w:color="auto"/>
        <w:left w:val="none" w:sz="0" w:space="0" w:color="auto"/>
        <w:bottom w:val="none" w:sz="0" w:space="0" w:color="auto"/>
        <w:right w:val="none" w:sz="0" w:space="0" w:color="auto"/>
      </w:divBdr>
    </w:div>
    <w:div w:id="1337416183">
      <w:bodyDiv w:val="1"/>
      <w:marLeft w:val="0"/>
      <w:marRight w:val="0"/>
      <w:marTop w:val="0"/>
      <w:marBottom w:val="0"/>
      <w:divBdr>
        <w:top w:val="none" w:sz="0" w:space="0" w:color="auto"/>
        <w:left w:val="none" w:sz="0" w:space="0" w:color="auto"/>
        <w:bottom w:val="none" w:sz="0" w:space="0" w:color="auto"/>
        <w:right w:val="none" w:sz="0" w:space="0" w:color="auto"/>
      </w:divBdr>
    </w:div>
    <w:div w:id="1443106239">
      <w:bodyDiv w:val="1"/>
      <w:marLeft w:val="0"/>
      <w:marRight w:val="0"/>
      <w:marTop w:val="0"/>
      <w:marBottom w:val="0"/>
      <w:divBdr>
        <w:top w:val="none" w:sz="0" w:space="0" w:color="auto"/>
        <w:left w:val="none" w:sz="0" w:space="0" w:color="auto"/>
        <w:bottom w:val="none" w:sz="0" w:space="0" w:color="auto"/>
        <w:right w:val="none" w:sz="0" w:space="0" w:color="auto"/>
      </w:divBdr>
    </w:div>
    <w:div w:id="1587769204">
      <w:bodyDiv w:val="1"/>
      <w:marLeft w:val="0"/>
      <w:marRight w:val="0"/>
      <w:marTop w:val="0"/>
      <w:marBottom w:val="0"/>
      <w:divBdr>
        <w:top w:val="none" w:sz="0" w:space="0" w:color="auto"/>
        <w:left w:val="none" w:sz="0" w:space="0" w:color="auto"/>
        <w:bottom w:val="none" w:sz="0" w:space="0" w:color="auto"/>
        <w:right w:val="none" w:sz="0" w:space="0" w:color="auto"/>
      </w:divBdr>
    </w:div>
    <w:div w:id="1748456828">
      <w:bodyDiv w:val="1"/>
      <w:marLeft w:val="0"/>
      <w:marRight w:val="0"/>
      <w:marTop w:val="0"/>
      <w:marBottom w:val="0"/>
      <w:divBdr>
        <w:top w:val="none" w:sz="0" w:space="0" w:color="auto"/>
        <w:left w:val="none" w:sz="0" w:space="0" w:color="auto"/>
        <w:bottom w:val="none" w:sz="0" w:space="0" w:color="auto"/>
        <w:right w:val="none" w:sz="0" w:space="0" w:color="auto"/>
      </w:divBdr>
    </w:div>
    <w:div w:id="1860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jradlo@sgh.waw.pl" TargetMode="External"/><Relationship Id="rId4" Type="http://schemas.openxmlformats.org/officeDocument/2006/relationships/settings" Target="settings.xml"/><Relationship Id="rId9" Type="http://schemas.openxmlformats.org/officeDocument/2006/relationships/hyperlink" Target="https://uprp.gov.pl/sites/default/files/Materia%C5%82%20ekspercki%20UPRP%20SGH%20GUS%20-%20komercjalizacja%20patento%CC%81w%20w%20Polsce.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F6047-2397-40A5-A34D-D7ADB54E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1306</Words>
  <Characters>7837</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Urząd Patentowy RP</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Juskowiak Agata</dc:creator>
  <cp:keywords/>
  <dc:description/>
  <cp:lastModifiedBy>Furmankiewicz Mikołaj</cp:lastModifiedBy>
  <cp:revision>2</cp:revision>
  <cp:lastPrinted>2026-06-23T11:07:00Z</cp:lastPrinted>
  <dcterms:created xsi:type="dcterms:W3CDTF">2026-07-27T11:24:00Z</dcterms:created>
  <dcterms:modified xsi:type="dcterms:W3CDTF">2026-07-27T11:24:00Z</dcterms:modified>
</cp:coreProperties>
</file>